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2369" w14:textId="2318400C" w:rsidR="00E936A0" w:rsidRPr="009D21F2" w:rsidRDefault="00E936A0" w:rsidP="009D21F2">
      <w:pPr>
        <w:rPr>
          <w:rFonts w:ascii="Arial" w:hAnsi="Arial" w:cs="Arial"/>
          <w:b/>
          <w:bCs/>
          <w:lang/>
        </w:rPr>
      </w:pPr>
      <w:r w:rsidRPr="009D21F2">
        <w:rPr>
          <w:rFonts w:ascii="Arial" w:hAnsi="Arial" w:cs="Arial"/>
          <w:b/>
          <w:bCs/>
          <w:lang/>
        </w:rPr>
        <w:t xml:space="preserve">Policy Brief: Advancing Green Steel </w:t>
      </w:r>
      <w:r w:rsidR="009D21F2">
        <w:rPr>
          <w:rFonts w:ascii="Arial" w:hAnsi="Arial" w:cs="Arial"/>
          <w:b/>
          <w:bCs/>
        </w:rPr>
        <w:t>Production</w:t>
      </w:r>
      <w:r w:rsidRPr="009D21F2">
        <w:rPr>
          <w:rFonts w:ascii="Arial" w:hAnsi="Arial" w:cs="Arial"/>
          <w:b/>
          <w:bCs/>
          <w:lang/>
        </w:rPr>
        <w:t xml:space="preserve"> through HEPHAESTUS Project</w:t>
      </w:r>
    </w:p>
    <w:p w14:paraId="359A0117" w14:textId="77777777" w:rsidR="00E936A0" w:rsidRPr="009D21F2" w:rsidRDefault="00E936A0" w:rsidP="009D21F2">
      <w:pPr>
        <w:rPr>
          <w:rFonts w:ascii="Arial" w:hAnsi="Arial" w:cs="Arial"/>
          <w:b/>
          <w:bCs/>
        </w:rPr>
      </w:pPr>
    </w:p>
    <w:p w14:paraId="24F34D45" w14:textId="2A471A7F" w:rsidR="00E936A0" w:rsidRPr="009D21F2" w:rsidRDefault="00E936A0" w:rsidP="009D21F2">
      <w:pPr>
        <w:rPr>
          <w:rFonts w:ascii="Arial" w:hAnsi="Arial" w:cs="Arial"/>
          <w:b/>
          <w:bCs/>
        </w:rPr>
      </w:pPr>
      <w:r w:rsidRPr="009D21F2">
        <w:rPr>
          <w:rFonts w:ascii="Arial" w:hAnsi="Arial" w:cs="Arial"/>
          <w:b/>
          <w:bCs/>
        </w:rPr>
        <w:t>Background</w:t>
      </w:r>
    </w:p>
    <w:p w14:paraId="24E80857" w14:textId="77777777" w:rsidR="00E936A0" w:rsidRPr="009D21F2" w:rsidRDefault="00E936A0" w:rsidP="009D21F2">
      <w:pPr>
        <w:jc w:val="both"/>
        <w:rPr>
          <w:rFonts w:ascii="Arial" w:hAnsi="Arial" w:cs="Arial"/>
          <w:lang w:val="en-GB"/>
        </w:rPr>
      </w:pPr>
      <w:r w:rsidRPr="009D21F2">
        <w:rPr>
          <w:rFonts w:ascii="Arial" w:hAnsi="Arial" w:cs="Arial"/>
          <w:lang w:val="en-GB"/>
        </w:rPr>
        <w:t>As Europe accelerates its transition toward climate neutrality, the steel industry plays a pivotal role. The HEPHAESTUS project, funded by Horizon Europe, directly supports this transformation by pioneering circular solutions to industrial steelmaking residues. Through cutting-edge innovation, HEPHAESTUS recovers valuable raw materials from electric arc furnace (EAF) dust and other byproducts, aligning with broader EU efforts to decarbonize and modernize steel production.</w:t>
      </w:r>
    </w:p>
    <w:p w14:paraId="32E6F743" w14:textId="77777777" w:rsidR="00E936A0" w:rsidRPr="009D21F2" w:rsidRDefault="00E936A0" w:rsidP="009D21F2">
      <w:pPr>
        <w:jc w:val="both"/>
        <w:rPr>
          <w:rFonts w:ascii="Arial" w:hAnsi="Arial" w:cs="Arial"/>
          <w:lang w:val="en-GB"/>
        </w:rPr>
      </w:pPr>
    </w:p>
    <w:p w14:paraId="7494B4E3" w14:textId="2D948A3C" w:rsidR="00E936A0" w:rsidRPr="009D21F2" w:rsidRDefault="00E936A0" w:rsidP="009D21F2">
      <w:pPr>
        <w:jc w:val="both"/>
        <w:rPr>
          <w:rFonts w:ascii="Arial" w:hAnsi="Arial" w:cs="Arial"/>
          <w:lang w:val="en-GB"/>
        </w:rPr>
      </w:pPr>
      <w:r w:rsidRPr="009D21F2">
        <w:rPr>
          <w:rFonts w:ascii="Arial" w:hAnsi="Arial" w:cs="Arial"/>
          <w:lang w:val="en-GB"/>
        </w:rPr>
        <w:t>This brief outlines how HEPHAESTUS complements the shift toward green steel by enhancing material efficiency, supporting renewable energy integration, and reducing dependence on virgin raw materials</w:t>
      </w:r>
      <w:r w:rsidR="009D21F2">
        <w:rPr>
          <w:rFonts w:ascii="Arial" w:hAnsi="Arial" w:cs="Arial"/>
          <w:lang w:val="en-GB"/>
        </w:rPr>
        <w:t xml:space="preserve">, </w:t>
      </w:r>
      <w:r w:rsidRPr="009D21F2">
        <w:rPr>
          <w:rFonts w:ascii="Arial" w:hAnsi="Arial" w:cs="Arial"/>
          <w:lang w:val="en-GB"/>
        </w:rPr>
        <w:t>while contributing to the EU Green Deal and circular economy objectives.</w:t>
      </w:r>
    </w:p>
    <w:p w14:paraId="07EC6D04" w14:textId="61A89EF4" w:rsidR="00E936A0" w:rsidRPr="009D21F2" w:rsidRDefault="00E936A0" w:rsidP="009D21F2">
      <w:pPr>
        <w:rPr>
          <w:rFonts w:ascii="Arial" w:hAnsi="Arial" w:cs="Arial"/>
          <w:lang/>
        </w:rPr>
      </w:pPr>
    </w:p>
    <w:p w14:paraId="66970782" w14:textId="3A3B0736" w:rsidR="00E936A0" w:rsidRPr="009D21F2" w:rsidRDefault="00E936A0" w:rsidP="009D21F2">
      <w:pPr>
        <w:rPr>
          <w:rFonts w:ascii="Arial" w:hAnsi="Arial" w:cs="Arial"/>
          <w:b/>
          <w:bCs/>
          <w:lang w:val="en-GB"/>
        </w:rPr>
      </w:pPr>
      <w:r w:rsidRPr="009D21F2">
        <w:rPr>
          <w:rFonts w:ascii="Arial" w:hAnsi="Arial" w:cs="Arial"/>
          <w:b/>
          <w:bCs/>
          <w:lang w:val="en-GB"/>
        </w:rPr>
        <w:t xml:space="preserve">Executive </w:t>
      </w:r>
      <w:r w:rsidRPr="009D21F2">
        <w:rPr>
          <w:rFonts w:ascii="Arial" w:hAnsi="Arial" w:cs="Arial"/>
          <w:b/>
          <w:bCs/>
          <w:lang w:val="en-GB"/>
        </w:rPr>
        <w:t>s</w:t>
      </w:r>
      <w:r w:rsidRPr="009D21F2">
        <w:rPr>
          <w:rFonts w:ascii="Arial" w:hAnsi="Arial" w:cs="Arial"/>
          <w:b/>
          <w:bCs/>
          <w:lang w:val="en-GB"/>
        </w:rPr>
        <w:t>ummary</w:t>
      </w:r>
    </w:p>
    <w:p w14:paraId="44BC53B5" w14:textId="4B07E995" w:rsidR="00E936A0" w:rsidRPr="009D21F2" w:rsidRDefault="00E936A0" w:rsidP="009D21F2">
      <w:pPr>
        <w:jc w:val="both"/>
        <w:rPr>
          <w:rFonts w:ascii="Arial" w:hAnsi="Arial" w:cs="Arial"/>
          <w:lang w:val="en-GB"/>
        </w:rPr>
      </w:pPr>
      <w:r w:rsidRPr="009D21F2">
        <w:rPr>
          <w:rFonts w:ascii="Arial" w:hAnsi="Arial" w:cs="Arial"/>
          <w:lang w:val="en-GB"/>
        </w:rPr>
        <w:t>The European steel industry is undergoing a transformative shift toward sustainability through the adoption of green-steel production methods. Key advances include the replacement of carbon-intensive blast furnaces (BFs) with electric arc furnaces (EAFs), hydrogen-powered technologies, and innovative recycling practices. These initiatives aim to drastically reduce the steel sector's carbon footprint, aligning with the EU’s Green Deal and global climate goals. This document explores current technologies, market drivers, challenges, and future prospects for green-steel production.</w:t>
      </w:r>
    </w:p>
    <w:p w14:paraId="4A10E16D" w14:textId="77777777" w:rsidR="009D21F2" w:rsidRDefault="009D21F2" w:rsidP="009D21F2">
      <w:pPr>
        <w:pStyle w:val="ListParagraph"/>
        <w:jc w:val="both"/>
        <w:rPr>
          <w:rFonts w:ascii="Arial" w:hAnsi="Arial" w:cs="Arial"/>
          <w:lang w:val="en-GB"/>
        </w:rPr>
      </w:pPr>
    </w:p>
    <w:p w14:paraId="521D909B" w14:textId="7670A597" w:rsidR="009D21F2" w:rsidRPr="009D21F2" w:rsidRDefault="009D21F2" w:rsidP="009D21F2">
      <w:pPr>
        <w:spacing w:after="120"/>
        <w:jc w:val="both"/>
        <w:rPr>
          <w:rFonts w:ascii="Arial" w:hAnsi="Arial" w:cs="Arial"/>
          <w:lang w:val="en-GB"/>
        </w:rPr>
      </w:pPr>
      <w:r w:rsidRPr="009D21F2">
        <w:rPr>
          <w:rFonts w:ascii="Arial" w:hAnsi="Arial" w:cs="Arial"/>
          <w:b/>
          <w:bCs/>
          <w:lang w:val="en-GB"/>
        </w:rPr>
        <w:t xml:space="preserve">Steel production in Europe </w:t>
      </w:r>
    </w:p>
    <w:p w14:paraId="00176DE8" w14:textId="4037B52C" w:rsidR="009D21F2" w:rsidRDefault="009D21F2" w:rsidP="009D21F2">
      <w:pPr>
        <w:spacing w:after="120"/>
        <w:jc w:val="both"/>
        <w:rPr>
          <w:rFonts w:ascii="Arial" w:hAnsi="Arial" w:cs="Arial"/>
          <w:lang w:val="en-GB"/>
        </w:rPr>
      </w:pPr>
      <w:r w:rsidRPr="009D21F2">
        <w:rPr>
          <w:rFonts w:ascii="Arial" w:hAnsi="Arial" w:cs="Arial"/>
          <w:lang w:val="en-GB"/>
        </w:rPr>
        <w:t xml:space="preserve">The steel industry is a key actor in Europe’s de-carbonization strategy. As such, EAFs are progressively replacing the </w:t>
      </w:r>
      <w:r w:rsidRPr="009D21F2">
        <w:rPr>
          <w:rFonts w:ascii="Arial" w:hAnsi="Arial" w:cs="Arial"/>
          <w:lang w:val="en-GB"/>
        </w:rPr>
        <w:t>incumbent</w:t>
      </w:r>
      <w:r w:rsidRPr="009D21F2">
        <w:rPr>
          <w:rFonts w:ascii="Arial" w:hAnsi="Arial" w:cs="Arial"/>
          <w:lang w:val="en-GB"/>
        </w:rPr>
        <w:t xml:space="preserve"> BFs, so reducing carbon emissions from steel production by nearly three-quarters. A BF produces 1.8 tonnes of CO</w:t>
      </w:r>
      <w:r w:rsidRPr="009D21F2">
        <w:rPr>
          <w:rFonts w:ascii="Arial" w:hAnsi="Arial" w:cs="Arial"/>
          <w:vertAlign w:val="subscript"/>
          <w:lang w:val="en-GB"/>
        </w:rPr>
        <w:t>2</w:t>
      </w:r>
      <w:r w:rsidRPr="009D21F2">
        <w:rPr>
          <w:rFonts w:ascii="Arial" w:hAnsi="Arial" w:cs="Arial"/>
          <w:lang w:val="en-GB"/>
        </w:rPr>
        <w:t xml:space="preserve"> per tonne of steel produced, while an EAF only produces 0.6 tonnes of CO</w:t>
      </w:r>
      <w:r w:rsidRPr="009D21F2">
        <w:rPr>
          <w:rFonts w:ascii="Arial" w:hAnsi="Arial" w:cs="Arial"/>
          <w:vertAlign w:val="subscript"/>
          <w:lang w:val="en-GB"/>
        </w:rPr>
        <w:t>2</w:t>
      </w:r>
      <w:r w:rsidRPr="009D21F2">
        <w:rPr>
          <w:rFonts w:ascii="Arial" w:hAnsi="Arial" w:cs="Arial"/>
          <w:lang w:val="en-GB"/>
        </w:rPr>
        <w:t xml:space="preserve"> per tonne of steel produced. At present, 40% of Europe’s steel is produced with EAFs</w:t>
      </w:r>
      <w:r w:rsidRPr="009D21F2">
        <w:rPr>
          <w:rFonts w:ascii="Arial" w:hAnsi="Arial" w:cs="Arial"/>
          <w:lang w:val="en-GB"/>
        </w:rPr>
        <w:t xml:space="preserve">. </w:t>
      </w:r>
    </w:p>
    <w:p w14:paraId="7D4E5A51" w14:textId="77777777" w:rsidR="009D21F2" w:rsidRDefault="009D21F2" w:rsidP="009D21F2">
      <w:pPr>
        <w:spacing w:after="120"/>
        <w:jc w:val="both"/>
        <w:rPr>
          <w:rFonts w:ascii="Arial" w:hAnsi="Arial" w:cs="Arial"/>
          <w:lang w:val="en-GB"/>
        </w:rPr>
      </w:pPr>
    </w:p>
    <w:p w14:paraId="07CB5FF0" w14:textId="77777777" w:rsidR="009D21F2" w:rsidRPr="004E6DFB" w:rsidRDefault="009D21F2" w:rsidP="009D21F2">
      <w:pPr>
        <w:spacing w:after="120"/>
        <w:jc w:val="center"/>
        <w:rPr>
          <w:lang w:val="en-GB"/>
        </w:rPr>
      </w:pPr>
      <w:r w:rsidRPr="004E6DFB">
        <w:rPr>
          <w:noProof/>
          <w:lang w:val="en-GB"/>
        </w:rPr>
        <w:drawing>
          <wp:inline distT="0" distB="0" distL="0" distR="0" wp14:anchorId="59C9A577" wp14:editId="609F5970">
            <wp:extent cx="4036350" cy="1920240"/>
            <wp:effectExtent l="0" t="0" r="2540" b="3810"/>
            <wp:docPr id="1510261815" name="Picture 1" descr="A graph of a growing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61815" name="Picture 1" descr="A graph of a growing graph&#10;&#10;Description automatically generated with medium confidence"/>
                    <pic:cNvPicPr/>
                  </pic:nvPicPr>
                  <pic:blipFill>
                    <a:blip r:embed="rId8"/>
                    <a:stretch>
                      <a:fillRect/>
                    </a:stretch>
                  </pic:blipFill>
                  <pic:spPr>
                    <a:xfrm>
                      <a:off x="0" y="0"/>
                      <a:ext cx="4038629" cy="1921324"/>
                    </a:xfrm>
                    <a:prstGeom prst="rect">
                      <a:avLst/>
                    </a:prstGeom>
                  </pic:spPr>
                </pic:pic>
              </a:graphicData>
            </a:graphic>
          </wp:inline>
        </w:drawing>
      </w:r>
    </w:p>
    <w:p w14:paraId="202C2D11" w14:textId="77777777" w:rsidR="009D21F2" w:rsidRPr="004E6DFB" w:rsidRDefault="009D21F2" w:rsidP="009D21F2">
      <w:pPr>
        <w:spacing w:after="120"/>
        <w:jc w:val="center"/>
        <w:rPr>
          <w:i/>
          <w:iCs/>
          <w:sz w:val="20"/>
          <w:szCs w:val="20"/>
          <w:lang w:val="en-GB"/>
        </w:rPr>
      </w:pPr>
      <w:r w:rsidRPr="004E6DFB">
        <w:rPr>
          <w:i/>
          <w:iCs/>
          <w:sz w:val="20"/>
          <w:szCs w:val="20"/>
          <w:lang w:val="en-GB"/>
        </w:rPr>
        <w:t>(source www.fortunebusinessinsights.com)</w:t>
      </w:r>
    </w:p>
    <w:p w14:paraId="0EBD1B42" w14:textId="77777777" w:rsidR="009D21F2" w:rsidRPr="009D21F2" w:rsidRDefault="009D21F2" w:rsidP="009D21F2">
      <w:pPr>
        <w:spacing w:after="120"/>
        <w:jc w:val="both"/>
        <w:rPr>
          <w:rFonts w:ascii="Arial" w:hAnsi="Arial" w:cs="Arial"/>
          <w:lang w:val="en-GB"/>
        </w:rPr>
      </w:pPr>
    </w:p>
    <w:p w14:paraId="52A74E81" w14:textId="77777777" w:rsidR="00E161A2" w:rsidRPr="00E161A2" w:rsidRDefault="009D21F2" w:rsidP="00E161A2">
      <w:pPr>
        <w:jc w:val="both"/>
        <w:rPr>
          <w:rFonts w:ascii="Arial" w:hAnsi="Arial" w:cs="Arial"/>
        </w:rPr>
      </w:pPr>
      <w:r w:rsidRPr="00E161A2">
        <w:rPr>
          <w:rFonts w:ascii="Arial" w:hAnsi="Arial" w:cs="Arial"/>
          <w:lang w:val="en-GB"/>
        </w:rPr>
        <w:t xml:space="preserve">Powering an EAF with renewable electricity would make the process almost 100% carbon-free, reducing these emissions to almost zero. In the future, other technologies, such as hydrogen-powered blast furnaces and molten-oxide electrolysis, will also open new routes for zero-carbon-emission steel. However, renewable electricity is the essential feature making these technologies carbon neutral and environment friendly. </w:t>
      </w:r>
    </w:p>
    <w:p w14:paraId="777B7E2E" w14:textId="77777777" w:rsidR="00E161A2" w:rsidRDefault="00E161A2" w:rsidP="00E161A2">
      <w:pPr>
        <w:pStyle w:val="ListParagraph"/>
        <w:jc w:val="both"/>
        <w:rPr>
          <w:rFonts w:ascii="Arial" w:hAnsi="Arial" w:cs="Arial"/>
        </w:rPr>
      </w:pPr>
    </w:p>
    <w:p w14:paraId="57A4AA50" w14:textId="2B1AE4BF" w:rsidR="00E161A2" w:rsidRPr="00E161A2" w:rsidRDefault="00E161A2" w:rsidP="00E161A2">
      <w:pPr>
        <w:jc w:val="both"/>
        <w:rPr>
          <w:rFonts w:ascii="Arial" w:hAnsi="Arial" w:cs="Arial"/>
          <w:lang/>
        </w:rPr>
      </w:pPr>
      <w:r w:rsidRPr="00E161A2">
        <w:rPr>
          <w:rFonts w:ascii="Arial" w:hAnsi="Arial" w:cs="Arial"/>
          <w:lang/>
        </w:rPr>
        <w:t>While EAFs represent the future of green steelmaking, their widespread adoption must be accompanied by circular material management</w:t>
      </w:r>
      <w:r>
        <w:rPr>
          <w:rFonts w:ascii="Arial" w:hAnsi="Arial" w:cs="Arial"/>
        </w:rPr>
        <w:t>. T</w:t>
      </w:r>
      <w:r w:rsidRPr="00E161A2">
        <w:rPr>
          <w:rFonts w:ascii="Arial" w:hAnsi="Arial" w:cs="Arial"/>
          <w:lang/>
        </w:rPr>
        <w:t>his is where HEPHAESTUS delivers added value.</w:t>
      </w:r>
    </w:p>
    <w:p w14:paraId="1DE00033" w14:textId="6326A5CA" w:rsidR="009D21F2" w:rsidRPr="00E161A2" w:rsidRDefault="009D21F2" w:rsidP="009D21F2">
      <w:pPr>
        <w:spacing w:after="120"/>
        <w:jc w:val="both"/>
        <w:rPr>
          <w:rFonts w:ascii="Arial" w:hAnsi="Arial" w:cs="Arial"/>
          <w:lang/>
        </w:rPr>
      </w:pPr>
    </w:p>
    <w:p w14:paraId="3DDB08CA" w14:textId="77777777" w:rsidR="009D21F2" w:rsidRPr="009D21F2" w:rsidRDefault="009D21F2" w:rsidP="009D21F2">
      <w:pPr>
        <w:spacing w:after="120"/>
        <w:jc w:val="both"/>
        <w:rPr>
          <w:rFonts w:ascii="Arial" w:hAnsi="Arial" w:cs="Arial"/>
          <w:lang w:val="en-GB"/>
        </w:rPr>
      </w:pPr>
      <w:r w:rsidRPr="009D21F2">
        <w:rPr>
          <w:rFonts w:ascii="Arial" w:hAnsi="Arial" w:cs="Arial"/>
          <w:lang w:val="en-GB"/>
        </w:rPr>
        <w:t>Pros and cons of the electric-arc furnace and the blast furnace</w:t>
      </w:r>
      <w:r>
        <w:rPr>
          <w:rFonts w:ascii="Arial" w:hAnsi="Arial" w:cs="Arial"/>
          <w:lang w:val="en-GB"/>
        </w:rPr>
        <w:t>:</w:t>
      </w:r>
    </w:p>
    <w:tbl>
      <w:tblPr>
        <w:tblStyle w:val="TableGrid"/>
        <w:tblW w:w="0" w:type="auto"/>
        <w:tblLook w:val="04A0" w:firstRow="1" w:lastRow="0" w:firstColumn="1" w:lastColumn="0" w:noHBand="0" w:noVBand="1"/>
      </w:tblPr>
      <w:tblGrid>
        <w:gridCol w:w="4682"/>
        <w:gridCol w:w="4668"/>
      </w:tblGrid>
      <w:tr w:rsidR="009D21F2" w:rsidRPr="009D21F2" w14:paraId="6C58AD09" w14:textId="77777777" w:rsidTr="004A69C0">
        <w:tc>
          <w:tcPr>
            <w:tcW w:w="5384" w:type="dxa"/>
          </w:tcPr>
          <w:p w14:paraId="16ED0A5F" w14:textId="77777777" w:rsidR="009D21F2" w:rsidRPr="009D21F2" w:rsidRDefault="009D21F2" w:rsidP="004A69C0">
            <w:pPr>
              <w:spacing w:after="120"/>
              <w:jc w:val="center"/>
              <w:rPr>
                <w:rFonts w:ascii="Arial" w:hAnsi="Arial" w:cs="Arial"/>
              </w:rPr>
            </w:pPr>
            <w:r w:rsidRPr="009D21F2">
              <w:rPr>
                <w:rFonts w:ascii="Arial" w:hAnsi="Arial" w:cs="Arial"/>
              </w:rPr>
              <w:t>Electric-arc furnace</w:t>
            </w:r>
          </w:p>
        </w:tc>
        <w:tc>
          <w:tcPr>
            <w:tcW w:w="5384" w:type="dxa"/>
          </w:tcPr>
          <w:p w14:paraId="1EB3A1F3" w14:textId="77777777" w:rsidR="009D21F2" w:rsidRPr="009D21F2" w:rsidRDefault="009D21F2" w:rsidP="004A69C0">
            <w:pPr>
              <w:spacing w:after="120"/>
              <w:jc w:val="center"/>
              <w:rPr>
                <w:rFonts w:ascii="Arial" w:hAnsi="Arial" w:cs="Arial"/>
              </w:rPr>
            </w:pPr>
            <w:r w:rsidRPr="009D21F2">
              <w:rPr>
                <w:rFonts w:ascii="Arial" w:hAnsi="Arial" w:cs="Arial"/>
              </w:rPr>
              <w:t>Blast furnace</w:t>
            </w:r>
          </w:p>
        </w:tc>
      </w:tr>
      <w:tr w:rsidR="009D21F2" w:rsidRPr="009D21F2" w14:paraId="605F39C2" w14:textId="77777777" w:rsidTr="004A69C0">
        <w:tc>
          <w:tcPr>
            <w:tcW w:w="5384" w:type="dxa"/>
          </w:tcPr>
          <w:p w14:paraId="20F3103B" w14:textId="77777777" w:rsidR="009D21F2" w:rsidRPr="009D21F2" w:rsidRDefault="009D21F2" w:rsidP="004A69C0">
            <w:pPr>
              <w:numPr>
                <w:ilvl w:val="0"/>
                <w:numId w:val="17"/>
              </w:numPr>
              <w:shd w:val="clear" w:color="auto" w:fill="FFFFFF"/>
              <w:spacing w:after="120"/>
              <w:ind w:left="454" w:hanging="283"/>
              <w:jc w:val="both"/>
              <w:rPr>
                <w:rFonts w:ascii="Arial" w:hAnsi="Arial" w:cs="Arial"/>
                <w:color w:val="333333"/>
              </w:rPr>
            </w:pPr>
            <w:r w:rsidRPr="009D21F2">
              <w:rPr>
                <w:rFonts w:ascii="Arial" w:hAnsi="Arial" w:cs="Arial"/>
                <w:color w:val="333333"/>
              </w:rPr>
              <w:t>Uses obsolescent scrap as the main source of material.</w:t>
            </w:r>
          </w:p>
          <w:p w14:paraId="27C278E2" w14:textId="77777777" w:rsidR="009D21F2" w:rsidRPr="009D21F2" w:rsidRDefault="009D21F2" w:rsidP="004A69C0">
            <w:pPr>
              <w:numPr>
                <w:ilvl w:val="0"/>
                <w:numId w:val="17"/>
              </w:numPr>
              <w:shd w:val="clear" w:color="auto" w:fill="FFFFFF"/>
              <w:spacing w:after="120"/>
              <w:ind w:left="454" w:hanging="283"/>
              <w:jc w:val="both"/>
              <w:rPr>
                <w:rFonts w:ascii="Arial" w:hAnsi="Arial" w:cs="Arial"/>
                <w:color w:val="333333"/>
              </w:rPr>
            </w:pPr>
            <w:r w:rsidRPr="009D21F2">
              <w:rPr>
                <w:rFonts w:ascii="Arial" w:hAnsi="Arial" w:cs="Arial"/>
                <w:color w:val="333333"/>
              </w:rPr>
              <w:t>Uses electricity as its main source of energy to melt scrap and adjust the properties in a ladle furnace.</w:t>
            </w:r>
          </w:p>
          <w:p w14:paraId="6AA43A95" w14:textId="77777777" w:rsidR="009D21F2" w:rsidRPr="009D21F2" w:rsidRDefault="009D21F2" w:rsidP="004A69C0">
            <w:pPr>
              <w:numPr>
                <w:ilvl w:val="0"/>
                <w:numId w:val="17"/>
              </w:numPr>
              <w:shd w:val="clear" w:color="auto" w:fill="FFFFFF"/>
              <w:spacing w:after="120"/>
              <w:ind w:left="454" w:hanging="283"/>
              <w:jc w:val="both"/>
              <w:rPr>
                <w:rFonts w:ascii="Arial" w:hAnsi="Arial" w:cs="Arial"/>
                <w:color w:val="333333"/>
              </w:rPr>
            </w:pPr>
            <w:r w:rsidRPr="009D21F2">
              <w:rPr>
                <w:rFonts w:ascii="Arial" w:hAnsi="Arial" w:cs="Arial"/>
                <w:color w:val="333333"/>
              </w:rPr>
              <w:t>Lower initial costs and takes up less space.</w:t>
            </w:r>
          </w:p>
          <w:p w14:paraId="39686715" w14:textId="77777777" w:rsidR="009D21F2" w:rsidRPr="009D21F2" w:rsidRDefault="009D21F2" w:rsidP="004A69C0">
            <w:pPr>
              <w:numPr>
                <w:ilvl w:val="0"/>
                <w:numId w:val="17"/>
              </w:numPr>
              <w:shd w:val="clear" w:color="auto" w:fill="FFFFFF"/>
              <w:spacing w:after="120"/>
              <w:ind w:left="454" w:hanging="283"/>
              <w:jc w:val="both"/>
              <w:rPr>
                <w:rFonts w:ascii="Arial" w:hAnsi="Arial" w:cs="Arial"/>
                <w:color w:val="333333"/>
              </w:rPr>
            </w:pPr>
            <w:r w:rsidRPr="009D21F2">
              <w:rPr>
                <w:rFonts w:ascii="Arial" w:hAnsi="Arial" w:cs="Arial"/>
                <w:color w:val="333333"/>
              </w:rPr>
              <w:t>Take less time to manufacture products.</w:t>
            </w:r>
          </w:p>
          <w:p w14:paraId="75475B41" w14:textId="77777777" w:rsidR="009D21F2" w:rsidRPr="009D21F2" w:rsidRDefault="009D21F2" w:rsidP="004A69C0">
            <w:pPr>
              <w:numPr>
                <w:ilvl w:val="0"/>
                <w:numId w:val="17"/>
              </w:numPr>
              <w:shd w:val="clear" w:color="auto" w:fill="FFFFFF"/>
              <w:spacing w:after="120"/>
              <w:ind w:left="454" w:hanging="283"/>
              <w:jc w:val="both"/>
              <w:rPr>
                <w:rFonts w:ascii="Arial" w:hAnsi="Arial" w:cs="Arial"/>
                <w:color w:val="333333"/>
              </w:rPr>
            </w:pPr>
            <w:r w:rsidRPr="009D21F2">
              <w:rPr>
                <w:rFonts w:ascii="Arial" w:hAnsi="Arial" w:cs="Arial"/>
                <w:color w:val="333333"/>
              </w:rPr>
              <w:t>Has the potential to be practically CO</w:t>
            </w:r>
            <w:r w:rsidRPr="009D21F2">
              <w:rPr>
                <w:rFonts w:ascii="Arial" w:hAnsi="Arial" w:cs="Arial"/>
                <w:color w:val="333333"/>
                <w:vertAlign w:val="subscript"/>
              </w:rPr>
              <w:t>2</w:t>
            </w:r>
            <w:r w:rsidRPr="009D21F2">
              <w:rPr>
                <w:rFonts w:ascii="Arial" w:hAnsi="Arial" w:cs="Arial"/>
                <w:color w:val="333333"/>
              </w:rPr>
              <w:t xml:space="preserve"> free if the electricity comes from renewable sources. </w:t>
            </w:r>
          </w:p>
        </w:tc>
        <w:tc>
          <w:tcPr>
            <w:tcW w:w="5384" w:type="dxa"/>
          </w:tcPr>
          <w:p w14:paraId="4D84C985" w14:textId="77777777" w:rsidR="009D21F2" w:rsidRPr="009D21F2" w:rsidRDefault="009D21F2" w:rsidP="004A69C0">
            <w:pPr>
              <w:numPr>
                <w:ilvl w:val="0"/>
                <w:numId w:val="17"/>
              </w:numPr>
              <w:shd w:val="clear" w:color="auto" w:fill="FFFFFF"/>
              <w:spacing w:after="120"/>
              <w:ind w:left="342" w:hanging="284"/>
              <w:jc w:val="both"/>
              <w:rPr>
                <w:rFonts w:ascii="Arial" w:hAnsi="Arial" w:cs="Arial"/>
                <w:color w:val="333333"/>
              </w:rPr>
            </w:pPr>
            <w:r w:rsidRPr="009D21F2">
              <w:rPr>
                <w:rFonts w:ascii="Arial" w:hAnsi="Arial" w:cs="Arial"/>
                <w:color w:val="333333"/>
              </w:rPr>
              <w:t>Uses iron ore as the source of material and coke as the main fuel and sources of energy.</w:t>
            </w:r>
          </w:p>
          <w:p w14:paraId="7A33C55C" w14:textId="77777777" w:rsidR="009D21F2" w:rsidRPr="009D21F2" w:rsidRDefault="009D21F2" w:rsidP="004A69C0">
            <w:pPr>
              <w:numPr>
                <w:ilvl w:val="0"/>
                <w:numId w:val="17"/>
              </w:numPr>
              <w:shd w:val="clear" w:color="auto" w:fill="FFFFFF"/>
              <w:spacing w:after="120"/>
              <w:ind w:left="342" w:hanging="284"/>
              <w:jc w:val="both"/>
              <w:rPr>
                <w:rFonts w:ascii="Arial" w:hAnsi="Arial" w:cs="Arial"/>
                <w:color w:val="333333"/>
              </w:rPr>
            </w:pPr>
            <w:r w:rsidRPr="009D21F2">
              <w:rPr>
                <w:rFonts w:ascii="Arial" w:hAnsi="Arial" w:cs="Arial"/>
                <w:color w:val="333333"/>
              </w:rPr>
              <w:t>Melts iron ore and coke so it can produce pig iron high in carbon content and this is then fed into a converter to remove impurities.</w:t>
            </w:r>
          </w:p>
          <w:p w14:paraId="2F2756A8" w14:textId="77777777" w:rsidR="009D21F2" w:rsidRPr="009D21F2" w:rsidRDefault="009D21F2" w:rsidP="004A69C0">
            <w:pPr>
              <w:numPr>
                <w:ilvl w:val="0"/>
                <w:numId w:val="17"/>
              </w:numPr>
              <w:shd w:val="clear" w:color="auto" w:fill="FFFFFF"/>
              <w:spacing w:after="120"/>
              <w:ind w:left="342" w:hanging="284"/>
              <w:jc w:val="both"/>
              <w:rPr>
                <w:rFonts w:ascii="Arial" w:hAnsi="Arial" w:cs="Arial"/>
                <w:color w:val="333333"/>
              </w:rPr>
            </w:pPr>
            <w:r w:rsidRPr="009D21F2">
              <w:rPr>
                <w:rFonts w:ascii="Arial" w:hAnsi="Arial" w:cs="Arial"/>
                <w:color w:val="333333"/>
              </w:rPr>
              <w:t>Needs a high investment in facility development and takes up a large space.</w:t>
            </w:r>
          </w:p>
          <w:p w14:paraId="133424CE" w14:textId="77777777" w:rsidR="009D21F2" w:rsidRPr="009D21F2" w:rsidRDefault="009D21F2" w:rsidP="004A69C0">
            <w:pPr>
              <w:numPr>
                <w:ilvl w:val="0"/>
                <w:numId w:val="17"/>
              </w:numPr>
              <w:shd w:val="clear" w:color="auto" w:fill="FFFFFF"/>
              <w:spacing w:after="120"/>
              <w:ind w:left="342" w:hanging="284"/>
              <w:jc w:val="both"/>
              <w:rPr>
                <w:rFonts w:ascii="Arial" w:hAnsi="Arial" w:cs="Arial"/>
                <w:color w:val="333333"/>
              </w:rPr>
            </w:pPr>
            <w:r w:rsidRPr="009D21F2">
              <w:rPr>
                <w:rFonts w:ascii="Arial" w:hAnsi="Arial" w:cs="Arial"/>
                <w:color w:val="333333"/>
              </w:rPr>
              <w:t>Easier to produce clean steel.</w:t>
            </w:r>
          </w:p>
          <w:p w14:paraId="5274A809" w14:textId="77777777" w:rsidR="009D21F2" w:rsidRPr="009D21F2" w:rsidRDefault="009D21F2" w:rsidP="004A69C0">
            <w:pPr>
              <w:numPr>
                <w:ilvl w:val="0"/>
                <w:numId w:val="17"/>
              </w:numPr>
              <w:shd w:val="clear" w:color="auto" w:fill="FFFFFF"/>
              <w:spacing w:after="120"/>
              <w:ind w:left="342" w:hanging="284"/>
              <w:jc w:val="both"/>
              <w:rPr>
                <w:rFonts w:ascii="Arial" w:hAnsi="Arial" w:cs="Arial"/>
                <w:color w:val="333333"/>
              </w:rPr>
            </w:pPr>
            <w:r w:rsidRPr="009D21F2">
              <w:rPr>
                <w:rFonts w:ascii="Arial" w:hAnsi="Arial" w:cs="Arial"/>
                <w:color w:val="333333"/>
              </w:rPr>
              <w:t>Emits a large amount of carbon dioxide.</w:t>
            </w:r>
          </w:p>
        </w:tc>
      </w:tr>
    </w:tbl>
    <w:p w14:paraId="6503FD19" w14:textId="77777777" w:rsidR="00E936A0" w:rsidRDefault="00E936A0" w:rsidP="00E936A0">
      <w:pPr>
        <w:pStyle w:val="ListParagraph"/>
        <w:rPr>
          <w:rFonts w:ascii="Arial" w:hAnsi="Arial" w:cs="Arial"/>
          <w:lang w:val="en-GB"/>
        </w:rPr>
      </w:pPr>
    </w:p>
    <w:p w14:paraId="6CC5FFFD" w14:textId="2E3A135B" w:rsidR="00E936A0" w:rsidRPr="009D21F2" w:rsidRDefault="00E936A0" w:rsidP="009D21F2">
      <w:pPr>
        <w:rPr>
          <w:rFonts w:ascii="Arial" w:hAnsi="Arial" w:cs="Arial"/>
          <w:b/>
          <w:bCs/>
          <w:lang w:val="en-GB"/>
        </w:rPr>
      </w:pPr>
      <w:r w:rsidRPr="009D21F2">
        <w:rPr>
          <w:rFonts w:ascii="Arial" w:hAnsi="Arial" w:cs="Arial"/>
          <w:b/>
          <w:bCs/>
          <w:lang w:val="en-GB"/>
        </w:rPr>
        <w:t xml:space="preserve">Green steel in automotive industry </w:t>
      </w:r>
    </w:p>
    <w:p w14:paraId="07A6640E" w14:textId="64D09104" w:rsidR="009D21F2" w:rsidRPr="009D21F2" w:rsidRDefault="009D21F2" w:rsidP="009D21F2">
      <w:pPr>
        <w:jc w:val="both"/>
        <w:rPr>
          <w:rFonts w:ascii="Arial" w:hAnsi="Arial" w:cs="Arial"/>
          <w:lang w:val="en-GB"/>
        </w:rPr>
      </w:pPr>
      <w:r w:rsidRPr="009D21F2">
        <w:rPr>
          <w:rFonts w:ascii="Arial" w:hAnsi="Arial" w:cs="Arial"/>
        </w:rPr>
        <w:t>The steel industry is responsible for 7% of global greenhouse gas (GHG) emissions, equivalent to the total GHG emissions of the European Union.</w:t>
      </w:r>
      <w:r w:rsidRPr="009D21F2">
        <w:rPr>
          <w:rFonts w:ascii="Arial" w:hAnsi="Arial" w:cs="Arial"/>
        </w:rPr>
        <w:t xml:space="preserve"> </w:t>
      </w:r>
      <w:r w:rsidRPr="009D21F2">
        <w:rPr>
          <w:rFonts w:ascii="Arial" w:hAnsi="Arial" w:cs="Arial"/>
          <w:lang w:val="en-GB"/>
        </w:rPr>
        <w:t>The automotive industry is the world’s second-largest user of steel, responsible for about 12% of global steel (17% in the EU, and 26% in the US). The majority of this is high-quality primary steel, rather than recycled steel, which means the automotive sector in an ideal position to drive the green transformation. The International Energy Agency has assessed that the steel sector needs to reduce GHG emissions by 25% by 2030 to be on track for net-zero by 2050. To support this transition the automotive sector needs to commit to green steel for at least a quarter of all steel purchases by 2030. These commitments will come at minimal cost. Switching to 100% green steel would increase vehicle purchase prices by less than 1%.</w:t>
      </w:r>
    </w:p>
    <w:p w14:paraId="155915C6" w14:textId="77777777" w:rsidR="009D21F2" w:rsidRPr="009D21F2" w:rsidRDefault="009D21F2" w:rsidP="009D21F2">
      <w:pPr>
        <w:pStyle w:val="ListParagraph"/>
        <w:jc w:val="both"/>
        <w:rPr>
          <w:rFonts w:ascii="Arial" w:hAnsi="Arial" w:cs="Arial"/>
          <w:lang w:val="en-GB"/>
        </w:rPr>
      </w:pPr>
    </w:p>
    <w:p w14:paraId="7A80B139" w14:textId="15A5189C" w:rsidR="009D21F2" w:rsidRPr="009D21F2" w:rsidRDefault="009D21F2" w:rsidP="009D21F2">
      <w:pPr>
        <w:jc w:val="both"/>
        <w:rPr>
          <w:rFonts w:ascii="Arial" w:hAnsi="Arial" w:cs="Arial"/>
          <w:lang w:val="en-GB"/>
        </w:rPr>
      </w:pPr>
      <w:r w:rsidRPr="009D21F2">
        <w:rPr>
          <w:rFonts w:ascii="Arial" w:hAnsi="Arial" w:cs="Arial"/>
          <w:lang w:val="en-GB"/>
        </w:rPr>
        <w:lastRenderedPageBreak/>
        <w:t>However, of major producers selling vehicles in Europe, only four have committed to green steel by 2030. The commitments total an estimated 2% of the steel used by these companies.</w:t>
      </w:r>
    </w:p>
    <w:p w14:paraId="2F00518A" w14:textId="77777777" w:rsidR="009D21F2" w:rsidRDefault="009D21F2" w:rsidP="009D21F2">
      <w:pPr>
        <w:pStyle w:val="ListParagraph"/>
        <w:jc w:val="both"/>
        <w:rPr>
          <w:rFonts w:ascii="Arial" w:hAnsi="Arial" w:cs="Arial"/>
          <w:b/>
          <w:bCs/>
          <w:lang w:val="en-GB"/>
        </w:rPr>
      </w:pPr>
    </w:p>
    <w:p w14:paraId="625CB83D" w14:textId="626EFAAB" w:rsidR="009D21F2" w:rsidRPr="009D21F2" w:rsidRDefault="009D21F2" w:rsidP="009D21F2">
      <w:pPr>
        <w:jc w:val="both"/>
        <w:rPr>
          <w:rFonts w:ascii="Arial" w:hAnsi="Arial" w:cs="Arial"/>
          <w:lang w:val="en-GB"/>
        </w:rPr>
      </w:pPr>
      <w:r w:rsidRPr="009D21F2">
        <w:rPr>
          <w:rFonts w:ascii="Arial" w:hAnsi="Arial" w:cs="Arial"/>
          <w:lang w:val="en-GB"/>
        </w:rPr>
        <w:t>The steelmakers that supply the automotive sector in Europe produce a large proportion of their steel using BF processes (relative to the steel-market average). The steel produces above-average GHG emissions (&gt; 2 tonnes of CO</w:t>
      </w:r>
      <w:r w:rsidRPr="00E161A2">
        <w:rPr>
          <w:rFonts w:ascii="Arial" w:hAnsi="Arial" w:cs="Arial"/>
          <w:vertAlign w:val="subscript"/>
          <w:lang w:val="en-GB"/>
        </w:rPr>
        <w:t>2</w:t>
      </w:r>
      <w:r w:rsidRPr="009D21F2">
        <w:rPr>
          <w:rFonts w:ascii="Arial" w:hAnsi="Arial" w:cs="Arial"/>
          <w:lang w:val="en-GB"/>
        </w:rPr>
        <w:t>e per tonne of steel). The situation is slightly better in the US, where there is higher share of recycled steel using EAFs, and GHG emissions down to 1.0 tonnes of CO</w:t>
      </w:r>
      <w:r w:rsidRPr="00E161A2">
        <w:rPr>
          <w:rFonts w:ascii="Arial" w:hAnsi="Arial" w:cs="Arial"/>
          <w:vertAlign w:val="subscript"/>
          <w:lang w:val="en-GB"/>
        </w:rPr>
        <w:t>2</w:t>
      </w:r>
      <w:r w:rsidRPr="009D21F2">
        <w:rPr>
          <w:rFonts w:ascii="Arial" w:hAnsi="Arial" w:cs="Arial"/>
          <w:lang w:val="en-GB"/>
        </w:rPr>
        <w:t>e per tonne. Overall, the automotive sector purchases steel with a lower-than-average share of recycled steel.</w:t>
      </w:r>
    </w:p>
    <w:p w14:paraId="35F47D8C" w14:textId="77777777" w:rsidR="009D21F2" w:rsidRPr="009D21F2" w:rsidRDefault="009D21F2" w:rsidP="009D21F2">
      <w:pPr>
        <w:pStyle w:val="ListParagraph"/>
        <w:jc w:val="both"/>
        <w:rPr>
          <w:rFonts w:ascii="Arial" w:hAnsi="Arial" w:cs="Arial"/>
          <w:lang w:val="en-GB"/>
        </w:rPr>
      </w:pPr>
    </w:p>
    <w:p w14:paraId="709E76F2" w14:textId="77777777" w:rsidR="009D21F2" w:rsidRPr="009D21F2" w:rsidRDefault="009D21F2" w:rsidP="009D21F2">
      <w:pPr>
        <w:pStyle w:val="ListParagraph"/>
        <w:jc w:val="both"/>
        <w:rPr>
          <w:rFonts w:ascii="Arial" w:hAnsi="Arial" w:cs="Arial"/>
          <w:lang w:val="en-GB"/>
        </w:rPr>
      </w:pPr>
    </w:p>
    <w:p w14:paraId="623FE12B" w14:textId="5DFB29D4" w:rsidR="00B8698E" w:rsidRPr="00B8698E" w:rsidRDefault="00B8698E" w:rsidP="00B8698E">
      <w:pPr>
        <w:jc w:val="both"/>
        <w:rPr>
          <w:rFonts w:ascii="Arial" w:hAnsi="Arial" w:cs="Arial"/>
          <w:b/>
          <w:bCs/>
          <w:lang w:val="en-GB"/>
        </w:rPr>
      </w:pPr>
      <w:r>
        <w:rPr>
          <w:rFonts w:ascii="Arial" w:hAnsi="Arial" w:cs="Arial"/>
          <w:b/>
          <w:bCs/>
          <w:lang w:val="en-GB"/>
        </w:rPr>
        <w:t>R</w:t>
      </w:r>
      <w:r w:rsidRPr="00B8698E">
        <w:rPr>
          <w:rFonts w:ascii="Arial" w:hAnsi="Arial" w:cs="Arial"/>
          <w:b/>
          <w:bCs/>
          <w:lang w:val="en-GB"/>
        </w:rPr>
        <w:t xml:space="preserve">ecycled steel </w:t>
      </w:r>
      <w:r>
        <w:rPr>
          <w:rFonts w:ascii="Arial" w:hAnsi="Arial" w:cs="Arial"/>
          <w:b/>
          <w:bCs/>
          <w:lang w:val="en-GB"/>
        </w:rPr>
        <w:t xml:space="preserve">use in </w:t>
      </w:r>
      <w:r w:rsidRPr="00B8698E">
        <w:rPr>
          <w:rFonts w:ascii="Arial" w:hAnsi="Arial" w:cs="Arial"/>
          <w:b/>
          <w:bCs/>
          <w:lang w:val="en-GB"/>
        </w:rPr>
        <w:t xml:space="preserve">the automotive sector </w:t>
      </w:r>
    </w:p>
    <w:p w14:paraId="54128CFF" w14:textId="1595CA7A" w:rsidR="00B8698E" w:rsidRPr="00B8698E" w:rsidRDefault="00B8698E" w:rsidP="00B8698E">
      <w:pPr>
        <w:jc w:val="both"/>
        <w:rPr>
          <w:rFonts w:ascii="Arial" w:hAnsi="Arial" w:cs="Arial"/>
          <w:lang w:val="en-GB"/>
        </w:rPr>
      </w:pPr>
      <w:r w:rsidRPr="00B8698E">
        <w:rPr>
          <w:rFonts w:ascii="Arial" w:hAnsi="Arial" w:cs="Arial"/>
          <w:lang w:val="en-GB"/>
        </w:rPr>
        <w:t>Recycled steel has limited use in the automotive sector because of the polluting elements that can frequently be found in recycled steel. Some automakers disclose that the recycled content of steel in their vehicles is around 10%–15% (e.g., Volvo Car Group</w:t>
      </w:r>
      <w:r w:rsidRPr="00B8698E">
        <w:rPr>
          <w:rFonts w:ascii="Arial" w:hAnsi="Arial" w:cs="Arial"/>
          <w:vertAlign w:val="superscript"/>
        </w:rPr>
        <w:footnoteReference w:id="1"/>
      </w:r>
      <w:r w:rsidRPr="00B8698E">
        <w:rPr>
          <w:rFonts w:ascii="Arial" w:hAnsi="Arial" w:cs="Arial"/>
          <w:lang w:val="en-GB"/>
        </w:rPr>
        <w:t>), but this information is only occasionally made public. The automotive-grade steel sheets have around 60% recycled component</w:t>
      </w:r>
      <w:r w:rsidR="00E161A2">
        <w:rPr>
          <w:rFonts w:ascii="Arial" w:hAnsi="Arial" w:cs="Arial"/>
          <w:lang w:val="en-GB"/>
        </w:rPr>
        <w:t>s</w:t>
      </w:r>
      <w:r w:rsidRPr="00B8698E">
        <w:rPr>
          <w:rFonts w:ascii="Arial" w:hAnsi="Arial" w:cs="Arial"/>
          <w:lang w:val="en-GB"/>
        </w:rPr>
        <w:t xml:space="preserve">, i.e., lower than for other applications. The use of recycled steel in cars is thus highly dependent on the quality of the available scrap. There are possibilities to increase the quality of scrap—which would then increase the share of recycled steel in vehicles—but this </w:t>
      </w:r>
      <w:r w:rsidR="00E161A2">
        <w:rPr>
          <w:rFonts w:ascii="Arial" w:hAnsi="Arial" w:cs="Arial"/>
          <w:lang w:val="en-GB"/>
        </w:rPr>
        <w:t>highlights the need for the</w:t>
      </w:r>
      <w:r w:rsidRPr="00B8698E">
        <w:rPr>
          <w:rFonts w:ascii="Arial" w:hAnsi="Arial" w:cs="Arial"/>
          <w:lang w:val="en-GB"/>
        </w:rPr>
        <w:t xml:space="preserve"> improved sorting of metal parts during the dismantling and shredding of end-of-life steel-containing scrap. There are, however, already examples of companies managing to produce automotive-grade steel from 100% scrap (</w:t>
      </w:r>
      <w:proofErr w:type="spellStart"/>
      <w:r w:rsidRPr="00B8698E">
        <w:rPr>
          <w:rFonts w:ascii="Arial" w:hAnsi="Arial" w:cs="Arial"/>
          <w:lang w:val="en-GB"/>
        </w:rPr>
        <w:t>Zong</w:t>
      </w:r>
      <w:proofErr w:type="spellEnd"/>
      <w:r w:rsidRPr="00B8698E">
        <w:rPr>
          <w:rFonts w:ascii="Arial" w:hAnsi="Arial" w:cs="Arial"/>
          <w:lang w:val="en-GB"/>
        </w:rPr>
        <w:t>, 2023</w:t>
      </w:r>
      <w:r w:rsidRPr="00B8698E">
        <w:rPr>
          <w:rFonts w:ascii="Arial" w:hAnsi="Arial" w:cs="Arial"/>
          <w:vertAlign w:val="superscript"/>
        </w:rPr>
        <w:footnoteReference w:id="2"/>
      </w:r>
      <w:r w:rsidRPr="00B8698E">
        <w:rPr>
          <w:rFonts w:ascii="Arial" w:hAnsi="Arial" w:cs="Arial"/>
          <w:lang w:val="en-GB"/>
        </w:rPr>
        <w:t>).</w:t>
      </w:r>
    </w:p>
    <w:p w14:paraId="66B7FB03" w14:textId="77777777" w:rsidR="00B8698E" w:rsidRPr="00E161A2" w:rsidRDefault="00B8698E" w:rsidP="00B8698E">
      <w:pPr>
        <w:spacing w:after="120"/>
        <w:jc w:val="both"/>
        <w:rPr>
          <w:b/>
          <w:bCs/>
          <w:sz w:val="22"/>
          <w:szCs w:val="22"/>
          <w:lang w:val="en-GB"/>
        </w:rPr>
      </w:pPr>
    </w:p>
    <w:p w14:paraId="51643983" w14:textId="77777777" w:rsidR="00E936A0" w:rsidRPr="00E161A2" w:rsidRDefault="00E936A0" w:rsidP="00E161A2">
      <w:pPr>
        <w:rPr>
          <w:rFonts w:ascii="Arial" w:hAnsi="Arial" w:cs="Arial"/>
          <w:b/>
          <w:bCs/>
          <w:lang/>
        </w:rPr>
      </w:pPr>
      <w:r w:rsidRPr="00E161A2">
        <w:rPr>
          <w:rFonts w:ascii="Arial" w:hAnsi="Arial" w:cs="Arial"/>
          <w:b/>
          <w:bCs/>
          <w:lang/>
        </w:rPr>
        <w:t>Policy Recommendations</w:t>
      </w:r>
    </w:p>
    <w:p w14:paraId="3400487F" w14:textId="77777777" w:rsidR="00E936A0" w:rsidRPr="00E936A0" w:rsidRDefault="00E936A0" w:rsidP="00E936A0">
      <w:pPr>
        <w:pStyle w:val="ListParagraph"/>
        <w:numPr>
          <w:ilvl w:val="0"/>
          <w:numId w:val="14"/>
        </w:numPr>
        <w:rPr>
          <w:rFonts w:ascii="Arial" w:hAnsi="Arial" w:cs="Arial"/>
          <w:lang/>
        </w:rPr>
      </w:pPr>
      <w:r w:rsidRPr="00E936A0">
        <w:rPr>
          <w:rFonts w:ascii="Arial" w:hAnsi="Arial" w:cs="Arial"/>
          <w:lang/>
        </w:rPr>
        <w:t>Promote renewable electricity integration into EAF operations via regulatory incentives and infrastructure investment.</w:t>
      </w:r>
    </w:p>
    <w:p w14:paraId="09EA0A6E" w14:textId="77777777" w:rsidR="00E936A0" w:rsidRPr="00E161A2" w:rsidRDefault="00E936A0" w:rsidP="00E936A0">
      <w:pPr>
        <w:pStyle w:val="ListParagraph"/>
        <w:numPr>
          <w:ilvl w:val="0"/>
          <w:numId w:val="14"/>
        </w:numPr>
        <w:rPr>
          <w:rFonts w:ascii="Arial" w:hAnsi="Arial" w:cs="Arial"/>
          <w:lang/>
        </w:rPr>
      </w:pPr>
      <w:r w:rsidRPr="00E936A0">
        <w:rPr>
          <w:rFonts w:ascii="Arial" w:hAnsi="Arial" w:cs="Arial"/>
          <w:lang/>
        </w:rPr>
        <w:t>Incentivize waste valorization and secondary material use, including through green public procurement and critical raw material policies.</w:t>
      </w:r>
    </w:p>
    <w:p w14:paraId="110024FA" w14:textId="79E60067" w:rsidR="00E161A2" w:rsidRPr="00E936A0" w:rsidRDefault="00E161A2" w:rsidP="00E161A2">
      <w:pPr>
        <w:pStyle w:val="ListParagraph"/>
        <w:numPr>
          <w:ilvl w:val="0"/>
          <w:numId w:val="14"/>
        </w:numPr>
        <w:rPr>
          <w:rFonts w:ascii="Arial" w:hAnsi="Arial" w:cs="Arial"/>
          <w:lang/>
        </w:rPr>
      </w:pPr>
      <w:r w:rsidRPr="00E936A0">
        <w:rPr>
          <w:rFonts w:ascii="Arial" w:hAnsi="Arial" w:cs="Arial"/>
          <w:lang/>
        </w:rPr>
        <w:t>Support industrial-scale demonstration of circular technologies</w:t>
      </w:r>
      <w:r>
        <w:rPr>
          <w:rFonts w:ascii="Arial" w:hAnsi="Arial" w:cs="Arial"/>
        </w:rPr>
        <w:t xml:space="preserve"> for waste valorization</w:t>
      </w:r>
      <w:r w:rsidRPr="00E936A0">
        <w:rPr>
          <w:rFonts w:ascii="Arial" w:hAnsi="Arial" w:cs="Arial"/>
          <w:lang/>
        </w:rPr>
        <w:t xml:space="preserve"> such as those in HEPHAESTUS, to accelerate commercial readiness and deployment.</w:t>
      </w:r>
    </w:p>
    <w:p w14:paraId="2B34507A" w14:textId="77777777" w:rsidR="00E161A2" w:rsidRPr="00E936A0" w:rsidRDefault="00E161A2" w:rsidP="00E161A2">
      <w:pPr>
        <w:pStyle w:val="ListParagraph"/>
        <w:rPr>
          <w:rFonts w:ascii="Arial" w:hAnsi="Arial" w:cs="Arial"/>
          <w:lang/>
        </w:rPr>
      </w:pPr>
    </w:p>
    <w:p w14:paraId="64629EC6" w14:textId="2E8563A4" w:rsidR="00E936A0" w:rsidRPr="00E936A0" w:rsidRDefault="00E936A0" w:rsidP="00E936A0">
      <w:pPr>
        <w:pStyle w:val="ListParagraph"/>
        <w:rPr>
          <w:rFonts w:ascii="Arial" w:hAnsi="Arial" w:cs="Arial"/>
          <w:lang/>
        </w:rPr>
      </w:pPr>
    </w:p>
    <w:p w14:paraId="3671F5E3" w14:textId="77777777" w:rsidR="00E936A0" w:rsidRPr="00E161A2" w:rsidRDefault="00E936A0" w:rsidP="00E161A2">
      <w:pPr>
        <w:rPr>
          <w:rFonts w:ascii="Arial" w:hAnsi="Arial" w:cs="Arial"/>
          <w:b/>
          <w:bCs/>
          <w:lang/>
        </w:rPr>
      </w:pPr>
      <w:r w:rsidRPr="00E161A2">
        <w:rPr>
          <w:rFonts w:ascii="Arial" w:hAnsi="Arial" w:cs="Arial"/>
          <w:b/>
          <w:bCs/>
          <w:lang/>
        </w:rPr>
        <w:t>Conclusion</w:t>
      </w:r>
    </w:p>
    <w:p w14:paraId="1873F2CB" w14:textId="30A2D745" w:rsidR="00E936A0" w:rsidRPr="00E161A2" w:rsidRDefault="00E936A0" w:rsidP="00E161A2">
      <w:pPr>
        <w:jc w:val="both"/>
        <w:rPr>
          <w:rFonts w:ascii="Arial" w:hAnsi="Arial" w:cs="Arial"/>
        </w:rPr>
      </w:pPr>
      <w:r w:rsidRPr="00E161A2">
        <w:rPr>
          <w:rFonts w:ascii="Arial" w:hAnsi="Arial" w:cs="Arial"/>
          <w:lang/>
        </w:rPr>
        <w:t>The path to a sustainable, climate-neutral steel industry must be both low-carbon and circular. The HEPHAESTUS project demonstrates how European innovation can convert industrial waste into strategic assets, reduce emissions, and drive forward the green transformation of one of Europe’s most essential sectors</w:t>
      </w:r>
      <w:r w:rsidR="00E161A2">
        <w:rPr>
          <w:rFonts w:ascii="Arial" w:hAnsi="Arial" w:cs="Arial"/>
        </w:rPr>
        <w:t>.</w:t>
      </w:r>
    </w:p>
    <w:p w14:paraId="412F83E7" w14:textId="77777777" w:rsidR="00E936A0" w:rsidRPr="00E161A2" w:rsidRDefault="00E936A0" w:rsidP="00E161A2">
      <w:pPr>
        <w:rPr>
          <w:rFonts w:ascii="Arial" w:hAnsi="Arial" w:cs="Arial"/>
        </w:rPr>
      </w:pPr>
    </w:p>
    <w:sectPr w:rsidR="00E936A0" w:rsidRPr="00E161A2" w:rsidSect="009D21F2">
      <w:headerReference w:type="default" r:id="rId9"/>
      <w:footerReference w:type="even" r:id="rId10"/>
      <w:footerReference w:type="default" r:id="rId11"/>
      <w:pgSz w:w="12240" w:h="15840"/>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88D4" w14:textId="77777777" w:rsidR="0010132F" w:rsidRDefault="0010132F" w:rsidP="0073302E">
      <w:r>
        <w:separator/>
      </w:r>
    </w:p>
  </w:endnote>
  <w:endnote w:type="continuationSeparator" w:id="0">
    <w:p w14:paraId="4C3E4EC3" w14:textId="77777777" w:rsidR="0010132F" w:rsidRDefault="0010132F" w:rsidP="0073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0645752"/>
      <w:docPartObj>
        <w:docPartGallery w:val="Page Numbers (Bottom of Page)"/>
        <w:docPartUnique/>
      </w:docPartObj>
    </w:sdtPr>
    <w:sdtContent>
      <w:p w14:paraId="468C245D" w14:textId="77777777" w:rsidR="0016356B" w:rsidRDefault="0016356B" w:rsidP="00DB26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5BEB31" w14:textId="77777777" w:rsidR="0016356B" w:rsidRDefault="0016356B" w:rsidP="00163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30479"/>
      <w:docPartObj>
        <w:docPartGallery w:val="Page Numbers (Bottom of Page)"/>
        <w:docPartUnique/>
      </w:docPartObj>
    </w:sdtPr>
    <w:sdtEndPr>
      <w:rPr>
        <w:noProof/>
      </w:rPr>
    </w:sdtEndPr>
    <w:sdtContent>
      <w:p w14:paraId="73BD8DB5" w14:textId="19F117CE" w:rsidR="00532631" w:rsidRDefault="00B8698E" w:rsidP="0016356B">
        <w:pPr>
          <w:pStyle w:val="Footer"/>
          <w:tabs>
            <w:tab w:val="left" w:pos="851"/>
          </w:tabs>
          <w:ind w:right="360"/>
          <w:jc w:val="center"/>
        </w:pPr>
        <w:r>
          <w:rPr>
            <w:noProof/>
          </w:rPr>
          <mc:AlternateContent>
            <mc:Choice Requires="wps">
              <w:drawing>
                <wp:anchor distT="45720" distB="45720" distL="114300" distR="114300" simplePos="0" relativeHeight="251659264" behindDoc="0" locked="0" layoutInCell="1" allowOverlap="1" wp14:anchorId="00C256B3" wp14:editId="00F56FAB">
                  <wp:simplePos x="0" y="0"/>
                  <wp:positionH relativeFrom="column">
                    <wp:posOffset>3028315</wp:posOffset>
                  </wp:positionH>
                  <wp:positionV relativeFrom="paragraph">
                    <wp:posOffset>140335</wp:posOffset>
                  </wp:positionV>
                  <wp:extent cx="35325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404620"/>
                          </a:xfrm>
                          <a:prstGeom prst="rect">
                            <a:avLst/>
                          </a:prstGeom>
                          <a:solidFill>
                            <a:srgbClr val="FFFFFF"/>
                          </a:solidFill>
                          <a:ln w="9525">
                            <a:noFill/>
                            <a:miter lim="800000"/>
                            <a:headEnd/>
                            <a:tailEnd/>
                          </a:ln>
                        </wps:spPr>
                        <wps:txbx>
                          <w:txbxContent>
                            <w:p w14:paraId="4D5EF75D" w14:textId="3821C87E" w:rsidR="002A5FAE" w:rsidRPr="00FC2DC6" w:rsidRDefault="002A5FAE" w:rsidP="002A5FAE">
                              <w:pPr>
                                <w:jc w:val="right"/>
                                <w:rPr>
                                  <w:spacing w:val="60"/>
                                  <w:sz w:val="20"/>
                                  <w:szCs w:val="20"/>
                                  <w:lang w:val="en-GB"/>
                                </w:rPr>
                              </w:pPr>
                              <w:r w:rsidRPr="00FC2DC6">
                                <w:rPr>
                                  <w:spacing w:val="60"/>
                                  <w:sz w:val="20"/>
                                  <w:szCs w:val="20"/>
                                  <w:lang w:val="en-GB"/>
                                </w:rPr>
                                <w:t xml:space="preserve">HORIZON EUROPE GRANT AGREEMENT NO. </w:t>
                              </w:r>
                              <w:r w:rsidR="00B8698E" w:rsidRPr="00B8698E">
                                <w:rPr>
                                  <w:rFonts w:hint="cs"/>
                                  <w:spacing w:val="60"/>
                                  <w:sz w:val="20"/>
                                  <w:szCs w:val="20"/>
                                </w:rPr>
                                <w:t>101058696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256B3" id="_x0000_t202" coordsize="21600,21600" o:spt="202" path="m,l,21600r21600,l21600,xe">
                  <v:stroke joinstyle="miter"/>
                  <v:path gradientshapeok="t" o:connecttype="rect"/>
                </v:shapetype>
                <v:shape id="Text Box 2" o:spid="_x0000_s1026" type="#_x0000_t202" style="position:absolute;left:0;text-align:left;margin-left:238.45pt;margin-top:11.05pt;width:27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2xDgIAAPcDAAAOAAAAZHJzL2Uyb0RvYy54bWysU9tu2zAMfR+wfxD0vthJ46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" stroked="f">
                  <v:textbox style="mso-fit-shape-to-text:t">
                    <w:txbxContent>
                      <w:p w14:paraId="4D5EF75D" w14:textId="3821C87E" w:rsidR="002A5FAE" w:rsidRPr="00FC2DC6" w:rsidRDefault="002A5FAE" w:rsidP="002A5FAE">
                        <w:pPr>
                          <w:jc w:val="right"/>
                          <w:rPr>
                            <w:spacing w:val="60"/>
                            <w:sz w:val="20"/>
                            <w:szCs w:val="20"/>
                            <w:lang w:val="en-GB"/>
                          </w:rPr>
                        </w:pPr>
                        <w:r w:rsidRPr="00FC2DC6">
                          <w:rPr>
                            <w:spacing w:val="60"/>
                            <w:sz w:val="20"/>
                            <w:szCs w:val="20"/>
                            <w:lang w:val="en-GB"/>
                          </w:rPr>
                          <w:t xml:space="preserve">HORIZON EUROPE GRANT AGREEMENT NO. </w:t>
                        </w:r>
                        <w:r w:rsidR="00B8698E" w:rsidRPr="00B8698E">
                          <w:rPr>
                            <w:rFonts w:hint="cs"/>
                            <w:spacing w:val="60"/>
                            <w:sz w:val="20"/>
                            <w:szCs w:val="20"/>
                          </w:rPr>
                          <w:t>101058696</w:t>
                        </w:r>
                      </w:p>
                    </w:txbxContent>
                  </v:textbox>
                  <w10:wrap type="square"/>
                </v:shape>
              </w:pict>
            </mc:Fallback>
          </mc:AlternateContent>
        </w:r>
        <w:r w:rsidR="00BB7DF5">
          <w:rPr>
            <w:noProof/>
          </w:rPr>
          <w:drawing>
            <wp:anchor distT="0" distB="0" distL="114300" distR="114300" simplePos="0" relativeHeight="251660288" behindDoc="0" locked="0" layoutInCell="1" allowOverlap="1" wp14:anchorId="1364CFAD" wp14:editId="28926846">
              <wp:simplePos x="0" y="0"/>
              <wp:positionH relativeFrom="column">
                <wp:posOffset>-185543</wp:posOffset>
              </wp:positionH>
              <wp:positionV relativeFrom="paragraph">
                <wp:posOffset>150659</wp:posOffset>
              </wp:positionV>
              <wp:extent cx="1793338" cy="376103"/>
              <wp:effectExtent l="0" t="0" r="0" b="5080"/>
              <wp:wrapNone/>
              <wp:docPr id="84413164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31649"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3338" cy="376103"/>
                      </a:xfrm>
                      <a:prstGeom prst="rect">
                        <a:avLst/>
                      </a:prstGeom>
                    </pic:spPr>
                  </pic:pic>
                </a:graphicData>
              </a:graphic>
              <wp14:sizeRelH relativeFrom="page">
                <wp14:pctWidth>0</wp14:pctWidth>
              </wp14:sizeRelH>
              <wp14:sizeRelV relativeFrom="page">
                <wp14:pctHeight>0</wp14:pctHeight>
              </wp14:sizeRelV>
            </wp:anchor>
          </w:drawing>
        </w:r>
      </w:p>
      <w:p w14:paraId="49F2446D" w14:textId="1A431108" w:rsidR="0073302E" w:rsidRDefault="00000000" w:rsidP="00EF7B07">
        <w:pPr>
          <w:pStyle w:val="Footer"/>
          <w:tabs>
            <w:tab w:val="left" w:pos="851"/>
          </w:tabs>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55E6" w14:textId="77777777" w:rsidR="0010132F" w:rsidRDefault="0010132F" w:rsidP="0073302E">
      <w:r>
        <w:separator/>
      </w:r>
    </w:p>
  </w:footnote>
  <w:footnote w:type="continuationSeparator" w:id="0">
    <w:p w14:paraId="20980149" w14:textId="77777777" w:rsidR="0010132F" w:rsidRDefault="0010132F" w:rsidP="0073302E">
      <w:r>
        <w:continuationSeparator/>
      </w:r>
    </w:p>
  </w:footnote>
  <w:footnote w:id="1">
    <w:p w14:paraId="3B257CE7" w14:textId="77777777" w:rsidR="00B8698E" w:rsidRPr="00E161A2" w:rsidRDefault="00B8698E" w:rsidP="00B8698E">
      <w:pPr>
        <w:pStyle w:val="FootnoteText"/>
        <w:rPr>
          <w:rFonts w:ascii="Arial" w:hAnsi="Arial" w:cs="Arial"/>
          <w:sz w:val="14"/>
          <w:szCs w:val="14"/>
        </w:rPr>
      </w:pPr>
      <w:r w:rsidRPr="00E161A2">
        <w:rPr>
          <w:rStyle w:val="FootnoteReference"/>
          <w:rFonts w:ascii="Arial" w:hAnsi="Arial" w:cs="Arial"/>
          <w:sz w:val="14"/>
          <w:szCs w:val="14"/>
        </w:rPr>
        <w:footnoteRef/>
      </w:r>
      <w:r w:rsidRPr="00E161A2">
        <w:rPr>
          <w:rFonts w:ascii="Arial" w:hAnsi="Arial" w:cs="Arial"/>
          <w:sz w:val="14"/>
          <w:szCs w:val="14"/>
        </w:rPr>
        <w:t xml:space="preserve"> Volvo Car Group. (2022). Annual and sustainability report 2022. https://vp272.alertir.com/afw/ f iles/press/volvocar/202303076447-1.pdf </w:t>
      </w:r>
    </w:p>
  </w:footnote>
  <w:footnote w:id="2">
    <w:p w14:paraId="28358974" w14:textId="77777777" w:rsidR="00B8698E" w:rsidRPr="00107D15" w:rsidRDefault="00B8698E" w:rsidP="00B8698E">
      <w:pPr>
        <w:pStyle w:val="FootnoteText"/>
        <w:rPr>
          <w:sz w:val="16"/>
          <w:szCs w:val="16"/>
        </w:rPr>
      </w:pPr>
      <w:r w:rsidRPr="00E161A2">
        <w:rPr>
          <w:rStyle w:val="FootnoteReference"/>
          <w:rFonts w:ascii="Arial" w:hAnsi="Arial" w:cs="Arial"/>
          <w:sz w:val="14"/>
          <w:szCs w:val="14"/>
        </w:rPr>
        <w:footnoteRef/>
      </w:r>
      <w:r w:rsidRPr="00E161A2">
        <w:rPr>
          <w:rFonts w:ascii="Arial" w:hAnsi="Arial" w:cs="Arial"/>
          <w:sz w:val="14"/>
          <w:szCs w:val="14"/>
        </w:rPr>
        <w:t xml:space="preserve"> Zong, J. (2023, May 12). China’s road to green steel—Hydrogen metallurgy and iron ore pellets. Fastmarkets. https://www.fastmarkets.com/insights/chinas-road-to-green-steel-hydrogenmetallurgy-and-iron-ore-pellets/</w:t>
      </w:r>
      <w:r w:rsidRPr="00E161A2">
        <w:rPr>
          <w:sz w:val="14"/>
          <w:szCs w:val="1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7130"/>
    </w:tblGrid>
    <w:tr w:rsidR="006E3E63" w14:paraId="57F6167C" w14:textId="77777777" w:rsidTr="006E3E63">
      <w:tc>
        <w:tcPr>
          <w:tcW w:w="988" w:type="dxa"/>
          <w:vAlign w:val="center"/>
        </w:tcPr>
        <w:p w14:paraId="4CD52405" w14:textId="0061C1E4" w:rsidR="006E3E63" w:rsidRDefault="003C7B6E" w:rsidP="006E3E63">
          <w:pPr>
            <w:pStyle w:val="Header"/>
            <w:jc w:val="right"/>
            <w:rPr>
              <w:color w:val="7F7F7F" w:themeColor="background1" w:themeShade="7F"/>
              <w:spacing w:val="60"/>
            </w:rPr>
          </w:pPr>
          <w:r>
            <w:rPr>
              <w:noProof/>
              <w:color w:val="7F7F7F" w:themeColor="background1" w:themeShade="7F"/>
              <w:spacing w:val="60"/>
              <w14:ligatures w14:val="none"/>
            </w:rPr>
            <w:drawing>
              <wp:inline distT="0" distB="0" distL="0" distR="0" wp14:anchorId="4158074B" wp14:editId="1E2D439E">
                <wp:extent cx="1279408" cy="653143"/>
                <wp:effectExtent l="0" t="0" r="0" b="0"/>
                <wp:docPr id="1140855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55051" name="Picture 1140855051"/>
                        <pic:cNvPicPr/>
                      </pic:nvPicPr>
                      <pic:blipFill>
                        <a:blip r:embed="rId1">
                          <a:extLst>
                            <a:ext uri="{28A0092B-C50C-407E-A947-70E740481C1C}">
                              <a14:useLocalDpi xmlns:a14="http://schemas.microsoft.com/office/drawing/2010/main" val="0"/>
                            </a:ext>
                          </a:extLst>
                        </a:blip>
                        <a:stretch>
                          <a:fillRect/>
                        </a:stretch>
                      </pic:blipFill>
                      <pic:spPr>
                        <a:xfrm>
                          <a:off x="0" y="0"/>
                          <a:ext cx="1287244" cy="657143"/>
                        </a:xfrm>
                        <a:prstGeom prst="rect">
                          <a:avLst/>
                        </a:prstGeom>
                      </pic:spPr>
                    </pic:pic>
                  </a:graphicData>
                </a:graphic>
              </wp:inline>
            </w:drawing>
          </w:r>
        </w:p>
      </w:tc>
      <w:tc>
        <w:tcPr>
          <w:tcW w:w="9802" w:type="dxa"/>
          <w:vAlign w:val="center"/>
        </w:tcPr>
        <w:p w14:paraId="27D3B407" w14:textId="11C3269A" w:rsidR="006E3E63" w:rsidRDefault="00C478FA" w:rsidP="006E3E63">
          <w:pPr>
            <w:pStyle w:val="Header"/>
            <w:pBdr>
              <w:bottom w:val="single" w:sz="4" w:space="1" w:color="D9D9D9" w:themeColor="background1" w:themeShade="D9"/>
            </w:pBdr>
            <w:jc w:val="right"/>
            <w:rPr>
              <w:b/>
              <w:bCs/>
            </w:rPr>
          </w:pPr>
          <w:r w:rsidRPr="00E936A0">
            <w:rPr>
              <w:color w:val="7F7F7F" w:themeColor="background1" w:themeShade="7F"/>
              <w:spacing w:val="60"/>
              <w:lang w:val="es-ES"/>
            </w:rPr>
            <w:t xml:space="preserve">HORIZON </w:t>
          </w:r>
          <w:r w:rsidR="003C7B6E" w:rsidRPr="00E936A0">
            <w:rPr>
              <w:color w:val="7F7F7F" w:themeColor="background1" w:themeShade="7F"/>
              <w:spacing w:val="60"/>
              <w:lang w:val="es-ES"/>
            </w:rPr>
            <w:t>EUROPE</w:t>
          </w:r>
          <w:r w:rsidR="00E936A0" w:rsidRPr="00E936A0">
            <w:rPr>
              <w:color w:val="7F7F7F" w:themeColor="background1" w:themeShade="7F"/>
              <w:spacing w:val="60"/>
              <w:lang w:val="es-ES"/>
            </w:rPr>
            <w:t xml:space="preserve"> IA</w:t>
          </w:r>
          <w:r w:rsidR="00FF6D68" w:rsidRPr="00E936A0">
            <w:rPr>
              <w:color w:val="7F7F7F" w:themeColor="background1" w:themeShade="7F"/>
              <w:spacing w:val="60"/>
              <w:lang w:val="es-ES"/>
            </w:rPr>
            <w:t xml:space="preserve"> </w:t>
          </w:r>
          <w:r w:rsidR="003C7B6E" w:rsidRPr="00E936A0">
            <w:rPr>
              <w:color w:val="7F7F7F" w:themeColor="background1" w:themeShade="7F"/>
              <w:spacing w:val="60"/>
              <w:lang w:val="es-ES"/>
            </w:rPr>
            <w:t>HEPHAESTUS</w:t>
          </w:r>
          <w:sdt>
            <w:sdtPr>
              <w:rPr>
                <w:color w:val="7F7F7F" w:themeColor="background1" w:themeShade="7F"/>
                <w:spacing w:val="60"/>
              </w:rPr>
              <w:id w:val="-194311843"/>
              <w:docPartObj>
                <w:docPartGallery w:val="Page Numbers (Top of Page)"/>
                <w:docPartUnique/>
              </w:docPartObj>
            </w:sdtPr>
            <w:sdtEndPr>
              <w:rPr>
                <w:b/>
                <w:bCs/>
                <w:noProof/>
                <w:color w:val="auto"/>
                <w:spacing w:val="0"/>
              </w:rPr>
            </w:sdtEndPr>
            <w:sdtContent>
              <w:r w:rsidR="006E3E63" w:rsidRPr="00E936A0">
                <w:rPr>
                  <w:color w:val="FF0000"/>
                  <w:lang w:val="es-ES"/>
                </w:rPr>
                <w:t xml:space="preserve"> </w:t>
              </w:r>
              <w:r w:rsidR="006E3E63" w:rsidRPr="00E936A0">
                <w:rPr>
                  <w:lang w:val="es-ES"/>
                </w:rPr>
                <w:t xml:space="preserve">| p. </w:t>
              </w:r>
              <w:r w:rsidR="006E3E63">
                <w:fldChar w:fldCharType="begin"/>
              </w:r>
              <w:r w:rsidR="006E3E63" w:rsidRPr="00E936A0">
                <w:rPr>
                  <w:lang w:val="es-ES"/>
                </w:rPr>
                <w:instrText xml:space="preserve"> PAGE   \* MERGEFORMAT </w:instrText>
              </w:r>
              <w:r w:rsidR="006E3E63">
                <w:fldChar w:fldCharType="separate"/>
              </w:r>
              <w:r w:rsidR="006E3E63">
                <w:t>1</w:t>
              </w:r>
              <w:r w:rsidR="006E3E63">
                <w:rPr>
                  <w:b/>
                  <w:bCs/>
                  <w:noProof/>
                </w:rPr>
                <w:fldChar w:fldCharType="end"/>
              </w:r>
            </w:sdtContent>
          </w:sdt>
        </w:p>
        <w:p w14:paraId="7FAE2CB5" w14:textId="0DDF4F3C" w:rsidR="006E3E63" w:rsidRPr="00AF680F" w:rsidRDefault="00E936A0" w:rsidP="003C7B6E">
          <w:pPr>
            <w:pStyle w:val="Header"/>
            <w:jc w:val="right"/>
            <w:rPr>
              <w:spacing w:val="60"/>
            </w:rPr>
          </w:pPr>
          <w:r>
            <w:rPr>
              <w:spacing w:val="60"/>
            </w:rPr>
            <w:t>Policy Brief</w:t>
          </w:r>
          <w:r w:rsidR="006E3E63" w:rsidRPr="006E3E63">
            <w:rPr>
              <w:spacing w:val="60"/>
            </w:rPr>
            <w:t xml:space="preserve"> </w:t>
          </w:r>
          <w:r w:rsidR="006E3E63">
            <w:rPr>
              <w:spacing w:val="60"/>
            </w:rPr>
            <w:t>(</w:t>
          </w:r>
          <w:r>
            <w:rPr>
              <w:spacing w:val="60"/>
            </w:rPr>
            <w:t>Leuven</w:t>
          </w:r>
          <w:r w:rsidR="00A71F56">
            <w:rPr>
              <w:spacing w:val="60"/>
            </w:rPr>
            <w:t xml:space="preserve">, </w:t>
          </w:r>
          <w:r w:rsidR="003C7B6E">
            <w:rPr>
              <w:spacing w:val="60"/>
            </w:rPr>
            <w:t>1</w:t>
          </w:r>
          <w:r>
            <w:rPr>
              <w:spacing w:val="60"/>
            </w:rPr>
            <w:t>9</w:t>
          </w:r>
          <w:r w:rsidR="003C7B6E">
            <w:rPr>
              <w:spacing w:val="60"/>
            </w:rPr>
            <w:t xml:space="preserve"> May 2025)</w:t>
          </w:r>
          <w:r w:rsidR="006E3E63">
            <w:rPr>
              <w:spacing w:val="60"/>
            </w:rPr>
            <w:t xml:space="preserve"> </w:t>
          </w:r>
        </w:p>
      </w:tc>
    </w:tr>
  </w:tbl>
  <w:p w14:paraId="16C98145" w14:textId="77777777" w:rsidR="0073302E" w:rsidRDefault="0073302E" w:rsidP="00453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389"/>
    <w:multiLevelType w:val="hybridMultilevel"/>
    <w:tmpl w:val="A7F4E1C4"/>
    <w:lvl w:ilvl="0" w:tplc="2C1EE8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092E34"/>
    <w:multiLevelType w:val="multilevel"/>
    <w:tmpl w:val="6FA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B3F13"/>
    <w:multiLevelType w:val="multilevel"/>
    <w:tmpl w:val="0FF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47567"/>
    <w:multiLevelType w:val="hybridMultilevel"/>
    <w:tmpl w:val="313C3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0023B"/>
    <w:multiLevelType w:val="hybridMultilevel"/>
    <w:tmpl w:val="16C25F2C"/>
    <w:lvl w:ilvl="0" w:tplc="1C6A54B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540AE"/>
    <w:multiLevelType w:val="multilevel"/>
    <w:tmpl w:val="5000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55E66"/>
    <w:multiLevelType w:val="hybridMultilevel"/>
    <w:tmpl w:val="96941D46"/>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7" w15:restartNumberingAfterBreak="0">
    <w:nsid w:val="459A59A3"/>
    <w:multiLevelType w:val="multilevel"/>
    <w:tmpl w:val="2516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8144A"/>
    <w:multiLevelType w:val="hybridMultilevel"/>
    <w:tmpl w:val="272C088E"/>
    <w:lvl w:ilvl="0" w:tplc="FFFFFFFF">
      <w:start w:val="1"/>
      <w:numFmt w:val="decimal"/>
      <w:lvlText w:val="%1."/>
      <w:lvlJc w:val="left"/>
      <w:pPr>
        <w:ind w:left="720" w:hanging="360"/>
      </w:pPr>
      <w:rPr>
        <w:rFonts w:hint="default"/>
      </w:rPr>
    </w:lvl>
    <w:lvl w:ilvl="1" w:tplc="EB76B850">
      <w:start w:val="16"/>
      <w:numFmt w:val="bullet"/>
      <w:lvlText w:val="-"/>
      <w:lvlJc w:val="left"/>
      <w:pPr>
        <w:ind w:left="72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CC053D"/>
    <w:multiLevelType w:val="multilevel"/>
    <w:tmpl w:val="2C2AC6B4"/>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296B74"/>
    <w:multiLevelType w:val="hybridMultilevel"/>
    <w:tmpl w:val="03866892"/>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1" w15:restartNumberingAfterBreak="0">
    <w:nsid w:val="50783F66"/>
    <w:multiLevelType w:val="hybridMultilevel"/>
    <w:tmpl w:val="39480178"/>
    <w:lvl w:ilvl="0" w:tplc="6634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12239"/>
    <w:multiLevelType w:val="hybridMultilevel"/>
    <w:tmpl w:val="4332415C"/>
    <w:lvl w:ilvl="0" w:tplc="EB76B85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069D8"/>
    <w:multiLevelType w:val="hybridMultilevel"/>
    <w:tmpl w:val="702231EC"/>
    <w:lvl w:ilvl="0" w:tplc="F988789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62E1D"/>
    <w:multiLevelType w:val="hybridMultilevel"/>
    <w:tmpl w:val="3774EBC0"/>
    <w:lvl w:ilvl="0" w:tplc="2C1EE8D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611BC5"/>
    <w:multiLevelType w:val="hybridMultilevel"/>
    <w:tmpl w:val="A406FC02"/>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BA77BB1"/>
    <w:multiLevelType w:val="hybridMultilevel"/>
    <w:tmpl w:val="356A872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74009946">
    <w:abstractNumId w:val="11"/>
  </w:num>
  <w:num w:numId="2" w16cid:durableId="623579559">
    <w:abstractNumId w:val="12"/>
  </w:num>
  <w:num w:numId="3" w16cid:durableId="440223083">
    <w:abstractNumId w:val="9"/>
  </w:num>
  <w:num w:numId="4" w16cid:durableId="296297784">
    <w:abstractNumId w:val="14"/>
  </w:num>
  <w:num w:numId="5" w16cid:durableId="358434387">
    <w:abstractNumId w:val="8"/>
  </w:num>
  <w:num w:numId="6" w16cid:durableId="1810048485">
    <w:abstractNumId w:val="0"/>
  </w:num>
  <w:num w:numId="7" w16cid:durableId="313489705">
    <w:abstractNumId w:val="16"/>
  </w:num>
  <w:num w:numId="8" w16cid:durableId="1150437250">
    <w:abstractNumId w:val="13"/>
  </w:num>
  <w:num w:numId="9" w16cid:durableId="1714116510">
    <w:abstractNumId w:val="4"/>
  </w:num>
  <w:num w:numId="10" w16cid:durableId="1768891778">
    <w:abstractNumId w:val="3"/>
  </w:num>
  <w:num w:numId="11" w16cid:durableId="293298621">
    <w:abstractNumId w:val="15"/>
  </w:num>
  <w:num w:numId="12" w16cid:durableId="879899057">
    <w:abstractNumId w:val="1"/>
  </w:num>
  <w:num w:numId="13" w16cid:durableId="961575608">
    <w:abstractNumId w:val="2"/>
  </w:num>
  <w:num w:numId="14" w16cid:durableId="1674452301">
    <w:abstractNumId w:val="7"/>
  </w:num>
  <w:num w:numId="15" w16cid:durableId="327946916">
    <w:abstractNumId w:val="10"/>
  </w:num>
  <w:num w:numId="16" w16cid:durableId="751396395">
    <w:abstractNumId w:val="6"/>
  </w:num>
  <w:num w:numId="17" w16cid:durableId="1279608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AA"/>
    <w:rsid w:val="00000D87"/>
    <w:rsid w:val="00005E01"/>
    <w:rsid w:val="00012101"/>
    <w:rsid w:val="00037DCE"/>
    <w:rsid w:val="000509ED"/>
    <w:rsid w:val="00051D9C"/>
    <w:rsid w:val="00052E86"/>
    <w:rsid w:val="00060E8B"/>
    <w:rsid w:val="00062ED3"/>
    <w:rsid w:val="00063C53"/>
    <w:rsid w:val="000652E7"/>
    <w:rsid w:val="000672F6"/>
    <w:rsid w:val="00072664"/>
    <w:rsid w:val="0007776A"/>
    <w:rsid w:val="00092925"/>
    <w:rsid w:val="000979C7"/>
    <w:rsid w:val="000A009D"/>
    <w:rsid w:val="000A04A3"/>
    <w:rsid w:val="000D2D58"/>
    <w:rsid w:val="000D7005"/>
    <w:rsid w:val="000E06EB"/>
    <w:rsid w:val="000E3CB8"/>
    <w:rsid w:val="000F20C2"/>
    <w:rsid w:val="0010008F"/>
    <w:rsid w:val="0010132F"/>
    <w:rsid w:val="00101C28"/>
    <w:rsid w:val="00114F2D"/>
    <w:rsid w:val="00123A54"/>
    <w:rsid w:val="0013322E"/>
    <w:rsid w:val="001437C9"/>
    <w:rsid w:val="0016356B"/>
    <w:rsid w:val="00166482"/>
    <w:rsid w:val="001666E5"/>
    <w:rsid w:val="00181FAE"/>
    <w:rsid w:val="0018217B"/>
    <w:rsid w:val="001B135D"/>
    <w:rsid w:val="001B2D73"/>
    <w:rsid w:val="001C27BF"/>
    <w:rsid w:val="001C7F78"/>
    <w:rsid w:val="001E5596"/>
    <w:rsid w:val="001F280E"/>
    <w:rsid w:val="001F3695"/>
    <w:rsid w:val="002014C8"/>
    <w:rsid w:val="00216009"/>
    <w:rsid w:val="00220515"/>
    <w:rsid w:val="002246C5"/>
    <w:rsid w:val="002342EE"/>
    <w:rsid w:val="002356CB"/>
    <w:rsid w:val="002514CA"/>
    <w:rsid w:val="002537CB"/>
    <w:rsid w:val="002609ED"/>
    <w:rsid w:val="002652A9"/>
    <w:rsid w:val="00271CAC"/>
    <w:rsid w:val="002756D4"/>
    <w:rsid w:val="002A0DB3"/>
    <w:rsid w:val="002A5FAE"/>
    <w:rsid w:val="002E4302"/>
    <w:rsid w:val="002E5212"/>
    <w:rsid w:val="002E6CE2"/>
    <w:rsid w:val="002F371D"/>
    <w:rsid w:val="002F4340"/>
    <w:rsid w:val="002F654C"/>
    <w:rsid w:val="003061D2"/>
    <w:rsid w:val="00314293"/>
    <w:rsid w:val="00332176"/>
    <w:rsid w:val="0033485A"/>
    <w:rsid w:val="003352B2"/>
    <w:rsid w:val="00352157"/>
    <w:rsid w:val="00353F20"/>
    <w:rsid w:val="00375CA0"/>
    <w:rsid w:val="00387930"/>
    <w:rsid w:val="00387A75"/>
    <w:rsid w:val="003B2AAD"/>
    <w:rsid w:val="003C7B6E"/>
    <w:rsid w:val="003D6E55"/>
    <w:rsid w:val="003E6090"/>
    <w:rsid w:val="003E6FF6"/>
    <w:rsid w:val="0040008B"/>
    <w:rsid w:val="00432AB8"/>
    <w:rsid w:val="004403A7"/>
    <w:rsid w:val="00442A47"/>
    <w:rsid w:val="0045309B"/>
    <w:rsid w:val="00474A94"/>
    <w:rsid w:val="00483EA6"/>
    <w:rsid w:val="004861FB"/>
    <w:rsid w:val="004871C0"/>
    <w:rsid w:val="0049216F"/>
    <w:rsid w:val="00495288"/>
    <w:rsid w:val="004952E7"/>
    <w:rsid w:val="004B23C5"/>
    <w:rsid w:val="004B6981"/>
    <w:rsid w:val="004C5EAF"/>
    <w:rsid w:val="004D05EF"/>
    <w:rsid w:val="004D610B"/>
    <w:rsid w:val="004E7BD1"/>
    <w:rsid w:val="004F2217"/>
    <w:rsid w:val="004F50A7"/>
    <w:rsid w:val="0050376E"/>
    <w:rsid w:val="0051250A"/>
    <w:rsid w:val="00532631"/>
    <w:rsid w:val="00533406"/>
    <w:rsid w:val="005358EB"/>
    <w:rsid w:val="00536143"/>
    <w:rsid w:val="00547E9E"/>
    <w:rsid w:val="0056594D"/>
    <w:rsid w:val="005803F1"/>
    <w:rsid w:val="005820A1"/>
    <w:rsid w:val="005834DE"/>
    <w:rsid w:val="0058523D"/>
    <w:rsid w:val="0059172C"/>
    <w:rsid w:val="00596D97"/>
    <w:rsid w:val="00597E70"/>
    <w:rsid w:val="005A7A8B"/>
    <w:rsid w:val="005B7217"/>
    <w:rsid w:val="005D5B4F"/>
    <w:rsid w:val="005E5108"/>
    <w:rsid w:val="005F2C5E"/>
    <w:rsid w:val="00604AA5"/>
    <w:rsid w:val="006115A9"/>
    <w:rsid w:val="00613D08"/>
    <w:rsid w:val="0062552D"/>
    <w:rsid w:val="00626660"/>
    <w:rsid w:val="00631356"/>
    <w:rsid w:val="00651240"/>
    <w:rsid w:val="00661ABF"/>
    <w:rsid w:val="006771A0"/>
    <w:rsid w:val="006959B1"/>
    <w:rsid w:val="00695CC2"/>
    <w:rsid w:val="006A7A5F"/>
    <w:rsid w:val="006B1078"/>
    <w:rsid w:val="006C493C"/>
    <w:rsid w:val="006D2412"/>
    <w:rsid w:val="006D519B"/>
    <w:rsid w:val="006D55FB"/>
    <w:rsid w:val="006E3E63"/>
    <w:rsid w:val="006F027F"/>
    <w:rsid w:val="00700272"/>
    <w:rsid w:val="00714660"/>
    <w:rsid w:val="0071616A"/>
    <w:rsid w:val="00716F7C"/>
    <w:rsid w:val="00717A4B"/>
    <w:rsid w:val="00720F4F"/>
    <w:rsid w:val="0073302E"/>
    <w:rsid w:val="0073525F"/>
    <w:rsid w:val="0074254C"/>
    <w:rsid w:val="007742AD"/>
    <w:rsid w:val="007923C2"/>
    <w:rsid w:val="00792E13"/>
    <w:rsid w:val="0079384F"/>
    <w:rsid w:val="007A109D"/>
    <w:rsid w:val="007A3348"/>
    <w:rsid w:val="007B46B4"/>
    <w:rsid w:val="007B55BA"/>
    <w:rsid w:val="007B57EB"/>
    <w:rsid w:val="007C416F"/>
    <w:rsid w:val="007D574C"/>
    <w:rsid w:val="007D62D1"/>
    <w:rsid w:val="007E72A7"/>
    <w:rsid w:val="008010DB"/>
    <w:rsid w:val="00802DEF"/>
    <w:rsid w:val="00813931"/>
    <w:rsid w:val="00831404"/>
    <w:rsid w:val="008373C6"/>
    <w:rsid w:val="00844D1A"/>
    <w:rsid w:val="0084648C"/>
    <w:rsid w:val="008529B7"/>
    <w:rsid w:val="00856B27"/>
    <w:rsid w:val="0086035E"/>
    <w:rsid w:val="00860853"/>
    <w:rsid w:val="00862B3E"/>
    <w:rsid w:val="008630D7"/>
    <w:rsid w:val="00867A82"/>
    <w:rsid w:val="00895EC9"/>
    <w:rsid w:val="008B3997"/>
    <w:rsid w:val="008C58E5"/>
    <w:rsid w:val="008D1A7B"/>
    <w:rsid w:val="008E0DBE"/>
    <w:rsid w:val="008E3153"/>
    <w:rsid w:val="008E3780"/>
    <w:rsid w:val="008F2262"/>
    <w:rsid w:val="008F2570"/>
    <w:rsid w:val="00912664"/>
    <w:rsid w:val="009209B9"/>
    <w:rsid w:val="009210BD"/>
    <w:rsid w:val="00931BAE"/>
    <w:rsid w:val="00957066"/>
    <w:rsid w:val="00967425"/>
    <w:rsid w:val="00971DF2"/>
    <w:rsid w:val="00975900"/>
    <w:rsid w:val="00983D52"/>
    <w:rsid w:val="00993DB3"/>
    <w:rsid w:val="0099787B"/>
    <w:rsid w:val="009A0F91"/>
    <w:rsid w:val="009B0A19"/>
    <w:rsid w:val="009C49BB"/>
    <w:rsid w:val="009D21F2"/>
    <w:rsid w:val="009F1D4D"/>
    <w:rsid w:val="009F3349"/>
    <w:rsid w:val="009F361C"/>
    <w:rsid w:val="00A045C6"/>
    <w:rsid w:val="00A11FAC"/>
    <w:rsid w:val="00A24535"/>
    <w:rsid w:val="00A3285B"/>
    <w:rsid w:val="00A33D52"/>
    <w:rsid w:val="00A37CA8"/>
    <w:rsid w:val="00A43043"/>
    <w:rsid w:val="00A43463"/>
    <w:rsid w:val="00A51230"/>
    <w:rsid w:val="00A53792"/>
    <w:rsid w:val="00A71F56"/>
    <w:rsid w:val="00A75ACC"/>
    <w:rsid w:val="00A85511"/>
    <w:rsid w:val="00A90634"/>
    <w:rsid w:val="00AA5172"/>
    <w:rsid w:val="00AA62DD"/>
    <w:rsid w:val="00AB033A"/>
    <w:rsid w:val="00AB18C2"/>
    <w:rsid w:val="00AE6ED6"/>
    <w:rsid w:val="00AF0C5D"/>
    <w:rsid w:val="00AF220A"/>
    <w:rsid w:val="00AF5BC5"/>
    <w:rsid w:val="00AF680F"/>
    <w:rsid w:val="00B070DD"/>
    <w:rsid w:val="00B13BBD"/>
    <w:rsid w:val="00B27494"/>
    <w:rsid w:val="00B31892"/>
    <w:rsid w:val="00B35C50"/>
    <w:rsid w:val="00B66104"/>
    <w:rsid w:val="00B86713"/>
    <w:rsid w:val="00B8698E"/>
    <w:rsid w:val="00B950E5"/>
    <w:rsid w:val="00BA3D4B"/>
    <w:rsid w:val="00BA42C9"/>
    <w:rsid w:val="00BB0AE2"/>
    <w:rsid w:val="00BB44B2"/>
    <w:rsid w:val="00BB6BF1"/>
    <w:rsid w:val="00BB7DF5"/>
    <w:rsid w:val="00BC4761"/>
    <w:rsid w:val="00BD0AA9"/>
    <w:rsid w:val="00BD4CAA"/>
    <w:rsid w:val="00BD671E"/>
    <w:rsid w:val="00BE3B47"/>
    <w:rsid w:val="00BE3B94"/>
    <w:rsid w:val="00BE67E1"/>
    <w:rsid w:val="00BF341B"/>
    <w:rsid w:val="00C008DF"/>
    <w:rsid w:val="00C06805"/>
    <w:rsid w:val="00C16AC7"/>
    <w:rsid w:val="00C179A6"/>
    <w:rsid w:val="00C22059"/>
    <w:rsid w:val="00C2505E"/>
    <w:rsid w:val="00C32F43"/>
    <w:rsid w:val="00C478FA"/>
    <w:rsid w:val="00C5364D"/>
    <w:rsid w:val="00C55364"/>
    <w:rsid w:val="00C5729C"/>
    <w:rsid w:val="00C57421"/>
    <w:rsid w:val="00C768FE"/>
    <w:rsid w:val="00CA6559"/>
    <w:rsid w:val="00CB69D9"/>
    <w:rsid w:val="00CD75A8"/>
    <w:rsid w:val="00CE0E23"/>
    <w:rsid w:val="00D042B3"/>
    <w:rsid w:val="00D06F42"/>
    <w:rsid w:val="00D17428"/>
    <w:rsid w:val="00D27B4F"/>
    <w:rsid w:val="00D34B6D"/>
    <w:rsid w:val="00D63BC9"/>
    <w:rsid w:val="00D912CF"/>
    <w:rsid w:val="00D92E91"/>
    <w:rsid w:val="00D9764C"/>
    <w:rsid w:val="00DA4346"/>
    <w:rsid w:val="00DB3F77"/>
    <w:rsid w:val="00DC1D3D"/>
    <w:rsid w:val="00DC34AC"/>
    <w:rsid w:val="00DC7E21"/>
    <w:rsid w:val="00DD78F7"/>
    <w:rsid w:val="00DD7CD5"/>
    <w:rsid w:val="00DE1D57"/>
    <w:rsid w:val="00DF3DCD"/>
    <w:rsid w:val="00DF4377"/>
    <w:rsid w:val="00E161A2"/>
    <w:rsid w:val="00E20D2A"/>
    <w:rsid w:val="00E2577C"/>
    <w:rsid w:val="00E26C02"/>
    <w:rsid w:val="00E40B21"/>
    <w:rsid w:val="00E526B1"/>
    <w:rsid w:val="00E61355"/>
    <w:rsid w:val="00E654C1"/>
    <w:rsid w:val="00E71880"/>
    <w:rsid w:val="00E730D0"/>
    <w:rsid w:val="00E936A0"/>
    <w:rsid w:val="00EA1D22"/>
    <w:rsid w:val="00EB15EB"/>
    <w:rsid w:val="00EC739E"/>
    <w:rsid w:val="00EF7B07"/>
    <w:rsid w:val="00F067E5"/>
    <w:rsid w:val="00F27FA0"/>
    <w:rsid w:val="00F35327"/>
    <w:rsid w:val="00F46FA5"/>
    <w:rsid w:val="00F55D81"/>
    <w:rsid w:val="00F56897"/>
    <w:rsid w:val="00F57309"/>
    <w:rsid w:val="00F630FC"/>
    <w:rsid w:val="00F9468F"/>
    <w:rsid w:val="00FA6CFA"/>
    <w:rsid w:val="00FC2DC6"/>
    <w:rsid w:val="00FD0E58"/>
    <w:rsid w:val="00FD613F"/>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D536"/>
  <w15:chartTrackingRefBased/>
  <w15:docId w15:val="{BFB39914-B43C-47C6-B3E8-6B558F8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6F"/>
    <w:pPr>
      <w:spacing w:after="0" w:line="240" w:lineRule="auto"/>
    </w:pPr>
    <w:rPr>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02E"/>
    <w:rPr>
      <w:color w:val="0000FF"/>
      <w:u w:val="single"/>
    </w:rPr>
  </w:style>
  <w:style w:type="paragraph" w:styleId="Footer">
    <w:name w:val="footer"/>
    <w:basedOn w:val="Normal"/>
    <w:link w:val="FooterChar"/>
    <w:uiPriority w:val="99"/>
    <w:unhideWhenUsed/>
    <w:rsid w:val="0073302E"/>
    <w:pPr>
      <w:tabs>
        <w:tab w:val="center" w:pos="4513"/>
        <w:tab w:val="right" w:pos="9026"/>
      </w:tabs>
    </w:pPr>
    <w:rPr>
      <w:lang w:val="en-GB"/>
    </w:rPr>
  </w:style>
  <w:style w:type="character" w:customStyle="1" w:styleId="FooterChar">
    <w:name w:val="Footer Char"/>
    <w:basedOn w:val="DefaultParagraphFont"/>
    <w:link w:val="Footer"/>
    <w:uiPriority w:val="99"/>
    <w:rsid w:val="0073302E"/>
    <w:rPr>
      <w:lang w:val="en-GB"/>
    </w:rPr>
  </w:style>
  <w:style w:type="table" w:styleId="TableGrid">
    <w:name w:val="Table Grid"/>
    <w:basedOn w:val="TableNormal"/>
    <w:uiPriority w:val="39"/>
    <w:rsid w:val="007330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2E"/>
    <w:pPr>
      <w:tabs>
        <w:tab w:val="center" w:pos="4680"/>
        <w:tab w:val="right" w:pos="9360"/>
      </w:tabs>
    </w:pPr>
  </w:style>
  <w:style w:type="character" w:customStyle="1" w:styleId="HeaderChar">
    <w:name w:val="Header Char"/>
    <w:basedOn w:val="DefaultParagraphFont"/>
    <w:link w:val="Header"/>
    <w:uiPriority w:val="99"/>
    <w:rsid w:val="0073302E"/>
  </w:style>
  <w:style w:type="paragraph" w:styleId="ListParagraph">
    <w:name w:val="List Paragraph"/>
    <w:basedOn w:val="Normal"/>
    <w:uiPriority w:val="34"/>
    <w:qFormat/>
    <w:rsid w:val="00D06F42"/>
    <w:pPr>
      <w:ind w:left="720"/>
      <w:contextualSpacing/>
    </w:pPr>
  </w:style>
  <w:style w:type="character" w:styleId="UnresolvedMention">
    <w:name w:val="Unresolved Mention"/>
    <w:basedOn w:val="DefaultParagraphFont"/>
    <w:uiPriority w:val="99"/>
    <w:semiHidden/>
    <w:unhideWhenUsed/>
    <w:rsid w:val="00532631"/>
    <w:rPr>
      <w:color w:val="605E5C"/>
      <w:shd w:val="clear" w:color="auto" w:fill="E1DFDD"/>
    </w:rPr>
  </w:style>
  <w:style w:type="character" w:styleId="PageNumber">
    <w:name w:val="page number"/>
    <w:basedOn w:val="DefaultParagraphFont"/>
    <w:uiPriority w:val="99"/>
    <w:semiHidden/>
    <w:unhideWhenUsed/>
    <w:rsid w:val="0016356B"/>
  </w:style>
  <w:style w:type="table" w:styleId="GridTable1Light-Accent5">
    <w:name w:val="Grid Table 1 Light Accent 5"/>
    <w:basedOn w:val="TableNormal"/>
    <w:uiPriority w:val="46"/>
    <w:rsid w:val="0062666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2666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6266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487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40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651240"/>
    <w:rPr>
      <w:color w:val="954F72" w:themeColor="followedHyperlink"/>
      <w:u w:val="single"/>
    </w:rPr>
  </w:style>
  <w:style w:type="character" w:styleId="CommentReference">
    <w:name w:val="annotation reference"/>
    <w:basedOn w:val="DefaultParagraphFont"/>
    <w:uiPriority w:val="99"/>
    <w:semiHidden/>
    <w:unhideWhenUsed/>
    <w:rsid w:val="00BD4CAA"/>
    <w:rPr>
      <w:sz w:val="16"/>
      <w:szCs w:val="16"/>
    </w:rPr>
  </w:style>
  <w:style w:type="paragraph" w:styleId="CommentText">
    <w:name w:val="annotation text"/>
    <w:basedOn w:val="Normal"/>
    <w:link w:val="CommentTextChar"/>
    <w:uiPriority w:val="99"/>
    <w:unhideWhenUsed/>
    <w:rsid w:val="00BD4CAA"/>
    <w:rPr>
      <w:sz w:val="20"/>
      <w:szCs w:val="20"/>
    </w:rPr>
  </w:style>
  <w:style w:type="character" w:customStyle="1" w:styleId="CommentTextChar">
    <w:name w:val="Comment Text Char"/>
    <w:basedOn w:val="DefaultParagraphFont"/>
    <w:link w:val="CommentText"/>
    <w:uiPriority w:val="99"/>
    <w:rsid w:val="00BD4CAA"/>
    <w:rPr>
      <w:kern w:val="2"/>
      <w:sz w:val="20"/>
      <w:szCs w:val="20"/>
      <w14:ligatures w14:val="standardContextual"/>
    </w:rPr>
  </w:style>
  <w:style w:type="paragraph" w:styleId="Title">
    <w:name w:val="Title"/>
    <w:basedOn w:val="Normal"/>
    <w:next w:val="Normal"/>
    <w:link w:val="TitleChar"/>
    <w:uiPriority w:val="10"/>
    <w:qFormat/>
    <w:rsid w:val="00BD4C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CAA"/>
    <w:rPr>
      <w:rFonts w:asciiTheme="majorHAnsi" w:eastAsiaTheme="majorEastAsia" w:hAnsiTheme="majorHAnsi" w:cstheme="majorBidi"/>
      <w:spacing w:val="-10"/>
      <w:kern w:val="28"/>
      <w:sz w:val="56"/>
      <w:szCs w:val="56"/>
      <w14:ligatures w14:val="standardContextual"/>
    </w:rPr>
  </w:style>
  <w:style w:type="paragraph" w:styleId="FootnoteText">
    <w:name w:val="footnote text"/>
    <w:basedOn w:val="Normal"/>
    <w:link w:val="FootnoteTextChar"/>
    <w:uiPriority w:val="99"/>
    <w:semiHidden/>
    <w:unhideWhenUsed/>
    <w:rsid w:val="00B8698E"/>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B8698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86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222">
      <w:bodyDiv w:val="1"/>
      <w:marLeft w:val="0"/>
      <w:marRight w:val="0"/>
      <w:marTop w:val="0"/>
      <w:marBottom w:val="0"/>
      <w:divBdr>
        <w:top w:val="none" w:sz="0" w:space="0" w:color="auto"/>
        <w:left w:val="none" w:sz="0" w:space="0" w:color="auto"/>
        <w:bottom w:val="none" w:sz="0" w:space="0" w:color="auto"/>
        <w:right w:val="none" w:sz="0" w:space="0" w:color="auto"/>
      </w:divBdr>
    </w:div>
    <w:div w:id="171460233">
      <w:bodyDiv w:val="1"/>
      <w:marLeft w:val="0"/>
      <w:marRight w:val="0"/>
      <w:marTop w:val="0"/>
      <w:marBottom w:val="0"/>
      <w:divBdr>
        <w:top w:val="none" w:sz="0" w:space="0" w:color="auto"/>
        <w:left w:val="none" w:sz="0" w:space="0" w:color="auto"/>
        <w:bottom w:val="none" w:sz="0" w:space="0" w:color="auto"/>
        <w:right w:val="none" w:sz="0" w:space="0" w:color="auto"/>
      </w:divBdr>
    </w:div>
    <w:div w:id="312831636">
      <w:bodyDiv w:val="1"/>
      <w:marLeft w:val="0"/>
      <w:marRight w:val="0"/>
      <w:marTop w:val="0"/>
      <w:marBottom w:val="0"/>
      <w:divBdr>
        <w:top w:val="none" w:sz="0" w:space="0" w:color="auto"/>
        <w:left w:val="none" w:sz="0" w:space="0" w:color="auto"/>
        <w:bottom w:val="none" w:sz="0" w:space="0" w:color="auto"/>
        <w:right w:val="none" w:sz="0" w:space="0" w:color="auto"/>
      </w:divBdr>
    </w:div>
    <w:div w:id="606159020">
      <w:bodyDiv w:val="1"/>
      <w:marLeft w:val="0"/>
      <w:marRight w:val="0"/>
      <w:marTop w:val="0"/>
      <w:marBottom w:val="0"/>
      <w:divBdr>
        <w:top w:val="none" w:sz="0" w:space="0" w:color="auto"/>
        <w:left w:val="none" w:sz="0" w:space="0" w:color="auto"/>
        <w:bottom w:val="none" w:sz="0" w:space="0" w:color="auto"/>
        <w:right w:val="none" w:sz="0" w:space="0" w:color="auto"/>
      </w:divBdr>
    </w:div>
    <w:div w:id="609777090">
      <w:bodyDiv w:val="1"/>
      <w:marLeft w:val="0"/>
      <w:marRight w:val="0"/>
      <w:marTop w:val="0"/>
      <w:marBottom w:val="0"/>
      <w:divBdr>
        <w:top w:val="none" w:sz="0" w:space="0" w:color="auto"/>
        <w:left w:val="none" w:sz="0" w:space="0" w:color="auto"/>
        <w:bottom w:val="none" w:sz="0" w:space="0" w:color="auto"/>
        <w:right w:val="none" w:sz="0" w:space="0" w:color="auto"/>
      </w:divBdr>
    </w:div>
    <w:div w:id="921766904">
      <w:bodyDiv w:val="1"/>
      <w:marLeft w:val="0"/>
      <w:marRight w:val="0"/>
      <w:marTop w:val="0"/>
      <w:marBottom w:val="0"/>
      <w:divBdr>
        <w:top w:val="none" w:sz="0" w:space="0" w:color="auto"/>
        <w:left w:val="none" w:sz="0" w:space="0" w:color="auto"/>
        <w:bottom w:val="none" w:sz="0" w:space="0" w:color="auto"/>
        <w:right w:val="none" w:sz="0" w:space="0" w:color="auto"/>
      </w:divBdr>
      <w:divsChild>
        <w:div w:id="1193879920">
          <w:marLeft w:val="0"/>
          <w:marRight w:val="0"/>
          <w:marTop w:val="0"/>
          <w:marBottom w:val="0"/>
          <w:divBdr>
            <w:top w:val="none" w:sz="0" w:space="0" w:color="auto"/>
            <w:left w:val="none" w:sz="0" w:space="0" w:color="auto"/>
            <w:bottom w:val="none" w:sz="0" w:space="0" w:color="auto"/>
            <w:right w:val="none" w:sz="0" w:space="0" w:color="auto"/>
          </w:divBdr>
          <w:divsChild>
            <w:div w:id="12254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5755">
      <w:bodyDiv w:val="1"/>
      <w:marLeft w:val="0"/>
      <w:marRight w:val="0"/>
      <w:marTop w:val="0"/>
      <w:marBottom w:val="0"/>
      <w:divBdr>
        <w:top w:val="none" w:sz="0" w:space="0" w:color="auto"/>
        <w:left w:val="none" w:sz="0" w:space="0" w:color="auto"/>
        <w:bottom w:val="none" w:sz="0" w:space="0" w:color="auto"/>
        <w:right w:val="none" w:sz="0" w:space="0" w:color="auto"/>
      </w:divBdr>
      <w:divsChild>
        <w:div w:id="1357076795">
          <w:marLeft w:val="0"/>
          <w:marRight w:val="0"/>
          <w:marTop w:val="0"/>
          <w:marBottom w:val="0"/>
          <w:divBdr>
            <w:top w:val="none" w:sz="0" w:space="0" w:color="auto"/>
            <w:left w:val="none" w:sz="0" w:space="0" w:color="auto"/>
            <w:bottom w:val="none" w:sz="0" w:space="0" w:color="auto"/>
            <w:right w:val="none" w:sz="0" w:space="0" w:color="auto"/>
          </w:divBdr>
          <w:divsChild>
            <w:div w:id="20701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907">
      <w:bodyDiv w:val="1"/>
      <w:marLeft w:val="0"/>
      <w:marRight w:val="0"/>
      <w:marTop w:val="0"/>
      <w:marBottom w:val="0"/>
      <w:divBdr>
        <w:top w:val="none" w:sz="0" w:space="0" w:color="auto"/>
        <w:left w:val="none" w:sz="0" w:space="0" w:color="auto"/>
        <w:bottom w:val="none" w:sz="0" w:space="0" w:color="auto"/>
        <w:right w:val="none" w:sz="0" w:space="0" w:color="auto"/>
      </w:divBdr>
    </w:div>
    <w:div w:id="1521896587">
      <w:bodyDiv w:val="1"/>
      <w:marLeft w:val="0"/>
      <w:marRight w:val="0"/>
      <w:marTop w:val="0"/>
      <w:marBottom w:val="0"/>
      <w:divBdr>
        <w:top w:val="none" w:sz="0" w:space="0" w:color="auto"/>
        <w:left w:val="none" w:sz="0" w:space="0" w:color="auto"/>
        <w:bottom w:val="none" w:sz="0" w:space="0" w:color="auto"/>
        <w:right w:val="none" w:sz="0" w:space="0" w:color="auto"/>
      </w:divBdr>
    </w:div>
    <w:div w:id="1597446324">
      <w:bodyDiv w:val="1"/>
      <w:marLeft w:val="0"/>
      <w:marRight w:val="0"/>
      <w:marTop w:val="0"/>
      <w:marBottom w:val="0"/>
      <w:divBdr>
        <w:top w:val="none" w:sz="0" w:space="0" w:color="auto"/>
        <w:left w:val="none" w:sz="0" w:space="0" w:color="auto"/>
        <w:bottom w:val="none" w:sz="0" w:space="0" w:color="auto"/>
        <w:right w:val="none" w:sz="0" w:space="0" w:color="auto"/>
      </w:divBdr>
    </w:div>
    <w:div w:id="21298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KU%20Leuven\Projects\H2PLASMARED\Templates\H2PlasmaRed%20-%20templat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5A4B304-7FC7-5E45-81FA-1414326C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H2PlasmaRed - template Word.dotx</Template>
  <TotalTime>0</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KU Leuven FEB</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Ionuț Alexandru Popa</dc:creator>
  <cp:keywords/>
  <dc:description/>
  <cp:lastModifiedBy>Liuba Lukina</cp:lastModifiedBy>
  <cp:revision>97</cp:revision>
  <cp:lastPrinted>2023-03-27T16:51:00Z</cp:lastPrinted>
  <dcterms:created xsi:type="dcterms:W3CDTF">2025-04-04T07:55:00Z</dcterms:created>
  <dcterms:modified xsi:type="dcterms:W3CDTF">2025-05-19T12:49:00Z</dcterms:modified>
</cp:coreProperties>
</file>